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leftChars="0"/>
        <w:jc w:val="center"/>
        <w:rPr>
          <w:rFonts w:ascii="方正小标宋简体" w:hAnsi="黑体" w:eastAsia="方正小标宋简体" w:cs="宋体"/>
          <w:sz w:val="44"/>
          <w:szCs w:val="44"/>
        </w:rPr>
      </w:pPr>
      <w:r>
        <w:rPr>
          <w:rFonts w:hint="eastAsia" w:ascii="方正小标宋简体" w:hAnsi="黑体" w:eastAsia="方正小标宋简体" w:cs="宋体"/>
          <w:sz w:val="44"/>
          <w:szCs w:val="44"/>
        </w:rPr>
        <w:t>贵州省香禾种质资源圃项目绩效评价报告</w:t>
      </w:r>
    </w:p>
    <w:p>
      <w:pPr>
        <w:spacing w:line="560" w:lineRule="exact"/>
      </w:pPr>
    </w:p>
    <w:p>
      <w:pPr>
        <w:spacing w:line="360" w:lineRule="auto"/>
        <w:ind w:firstLine="645"/>
        <w:rPr>
          <w:szCs w:val="32"/>
        </w:rPr>
      </w:pPr>
      <w:r>
        <w:rPr>
          <w:rFonts w:hint="eastAsia"/>
          <w:szCs w:val="32"/>
        </w:rPr>
        <w:t>按照《州财政局关于开展2022年度绩效自评工作的通知》（黔东南财绩〔2023〕1号）要求，黔东南州农业科学院（以下简称“州农科院”）成立绩效评价工作组，于2023年2月15日至2023年3月3日对贵州省香禾种质资源圃项目开展了绩效评价，现就评价情况报告如下：</w:t>
      </w:r>
    </w:p>
    <w:p>
      <w:pPr>
        <w:spacing w:line="360" w:lineRule="auto"/>
        <w:ind w:firstLine="640" w:firstLineChars="200"/>
        <w:rPr>
          <w:rFonts w:ascii="黑体" w:hAnsi="黑体" w:eastAsia="黑体"/>
          <w:szCs w:val="32"/>
        </w:rPr>
      </w:pPr>
      <w:r>
        <w:rPr>
          <w:rFonts w:hint="eastAsia" w:ascii="黑体" w:hAnsi="黑体" w:eastAsia="黑体"/>
          <w:szCs w:val="32"/>
        </w:rPr>
        <w:t>一、基本情况</w:t>
      </w:r>
    </w:p>
    <w:p>
      <w:pPr>
        <w:spacing w:line="360" w:lineRule="auto"/>
        <w:ind w:firstLine="640" w:firstLineChars="200"/>
        <w:rPr>
          <w:rFonts w:ascii="楷体_GB2312" w:eastAsia="楷体_GB2312"/>
          <w:b/>
          <w:bCs/>
          <w:spacing w:val="6"/>
          <w:szCs w:val="32"/>
        </w:rPr>
      </w:pPr>
      <w:r>
        <w:fldChar w:fldCharType="begin"/>
      </w:r>
      <w:r>
        <w:instrText xml:space="preserve"> HYPERLINK \l "_Toc434746187" </w:instrText>
      </w:r>
      <w:r>
        <w:fldChar w:fldCharType="separate"/>
      </w:r>
      <w:r>
        <w:rPr>
          <w:rFonts w:hint="eastAsia" w:ascii="楷体_GB2312" w:eastAsia="楷体_GB2312"/>
          <w:b/>
          <w:bCs/>
          <w:spacing w:val="6"/>
          <w:szCs w:val="32"/>
        </w:rPr>
        <w:t>（一）项目概况</w:t>
      </w:r>
      <w:r>
        <w:rPr>
          <w:rFonts w:hint="eastAsia" w:ascii="楷体_GB2312" w:eastAsia="楷体_GB2312"/>
          <w:b/>
          <w:bCs/>
          <w:spacing w:val="6"/>
          <w:szCs w:val="32"/>
        </w:rPr>
        <w:fldChar w:fldCharType="end"/>
      </w:r>
    </w:p>
    <w:p>
      <w:pPr>
        <w:adjustRightInd w:val="0"/>
        <w:snapToGrid w:val="0"/>
        <w:spacing w:line="360" w:lineRule="auto"/>
        <w:ind w:firstLine="640" w:firstLineChars="200"/>
        <w:rPr>
          <w:rFonts w:cs="仿宋_GB2312"/>
          <w:szCs w:val="32"/>
        </w:rPr>
      </w:pPr>
      <w:r>
        <w:rPr>
          <w:rFonts w:hint="eastAsia" w:hAnsi="Calibri" w:cs="仿宋_GB2312"/>
          <w:szCs w:val="32"/>
        </w:rPr>
        <w:t>农业种质资源是农业科技原始创新与现代种业发展的物质基础，是农业“芯片”中的“芯片”，开展好种质资源保护与利用，是打好种业翻身仗的第一仗。《省人民政府办公厅关于加强农业种质资源保护与利用的实施意见》（黔府办发〔2020〕34号）、《黔东南州农业种质资源保护与利用三年行动方案（2021-2023年）》（黔东南府办函〔2021〕23号）等文件均明确要求加快建设农作物种质资源圃，开展农作物种质资源收集保存与评价鉴定，为创制新种质和利用好资源打下坚实基础具有重要的现实意义。</w:t>
      </w:r>
    </w:p>
    <w:p>
      <w:pPr>
        <w:adjustRightInd w:val="0"/>
        <w:snapToGrid w:val="0"/>
        <w:spacing w:line="360" w:lineRule="auto"/>
        <w:ind w:firstLine="640" w:firstLineChars="200"/>
        <w:rPr>
          <w:rFonts w:cs="仿宋_GB2312"/>
          <w:szCs w:val="32"/>
        </w:rPr>
      </w:pPr>
      <w:r>
        <w:rPr>
          <w:rFonts w:hint="eastAsia" w:hAnsi="Calibri" w:cs="仿宋_GB2312"/>
          <w:szCs w:val="32"/>
        </w:rPr>
        <w:t>黔东南州是我省特色优质粮食作物——香禾的种植区域，种植历史悠久，禾文化独特，资源丰富，虽然我院在2002年就开始收集香禾资源，进行种植观察、保种和创新利用研究，但随着经济社会发展、农业种植结构调整以及高产杂交水稻种植等原因，香禾种植面积不断下降，资源流失加快，香禾资源保护面临严峻形势。2020年12月，贵州省农业农村厅公告（第17号）确定黔东南州农业科学院作为贵州省香禾种质资源圃的省级农业种质资源保护单位，以及2021年贵州省省级财政现代种业发展项目（黔农计财[2021]39号）——贵州省香禾种质资源圃建设，通过建设10亩长期稳定的香禾种质资源圃，收集和保存400份以上香禾种质资源，开展资源鉴定100份以上，并完成编目入库；繁殖和加代香禾材料200份以上。</w:t>
      </w:r>
    </w:p>
    <w:p>
      <w:pPr>
        <w:numPr>
          <w:ilvl w:val="0"/>
          <w:numId w:val="1"/>
        </w:numPr>
        <w:spacing w:line="360" w:lineRule="auto"/>
        <w:ind w:firstLine="667" w:firstLineChars="200"/>
        <w:rPr>
          <w:rFonts w:ascii="楷体_GB2312" w:eastAsia="楷体_GB2312"/>
          <w:b/>
          <w:bCs/>
          <w:spacing w:val="6"/>
          <w:szCs w:val="32"/>
        </w:rPr>
      </w:pPr>
      <w:r>
        <w:rPr>
          <w:rFonts w:hint="eastAsia" w:ascii="楷体_GB2312" w:eastAsia="楷体_GB2312"/>
          <w:b/>
          <w:bCs/>
          <w:spacing w:val="6"/>
          <w:szCs w:val="32"/>
        </w:rPr>
        <w:t>项目资金安排及使用情况</w:t>
      </w:r>
    </w:p>
    <w:p>
      <w:pPr>
        <w:pStyle w:val="2"/>
        <w:spacing w:line="360" w:lineRule="auto"/>
        <w:ind w:left="0" w:leftChars="0"/>
      </w:pPr>
      <w:r>
        <w:rPr>
          <w:rFonts w:hint="eastAsia"/>
        </w:rPr>
        <w:t xml:space="preserve">     </w:t>
      </w:r>
      <w:r>
        <w:rPr>
          <w:rFonts w:hint="eastAsia" w:hAnsi="楷体_GB2312" w:cs="楷体_GB2312"/>
          <w:color w:val="000000"/>
          <w:szCs w:val="32"/>
        </w:rPr>
        <w:t>本项目经费44.2万元，由于资金下达较晚，现资金支出3</w:t>
      </w:r>
      <w:r>
        <w:rPr>
          <w:rFonts w:hint="eastAsia" w:hAnsi="楷体_GB2312" w:cs="楷体_GB2312"/>
          <w:color w:val="000000"/>
          <w:szCs w:val="32"/>
          <w:lang w:val="en-US" w:eastAsia="zh-CN"/>
        </w:rPr>
        <w:t>1.3203</w:t>
      </w:r>
      <w:r>
        <w:rPr>
          <w:rFonts w:hint="eastAsia" w:hAnsi="楷体_GB2312" w:cs="楷体_GB2312"/>
          <w:color w:val="000000"/>
          <w:szCs w:val="32"/>
        </w:rPr>
        <w:t>万元，其他正按实施方案进行中。</w:t>
      </w:r>
    </w:p>
    <w:p>
      <w:pPr>
        <w:pStyle w:val="2"/>
        <w:spacing w:line="360" w:lineRule="auto"/>
        <w:ind w:left="0" w:leftChars="0" w:firstLine="643" w:firstLineChars="200"/>
        <w:rPr>
          <w:rFonts w:hint="eastAsia" w:ascii="仿宋" w:hAnsi="仿宋" w:eastAsia="仿宋" w:cs="仿宋"/>
          <w:color w:val="auto"/>
          <w:szCs w:val="32"/>
          <w:lang w:val="en-US" w:eastAsia="zh-CN"/>
        </w:rPr>
      </w:pPr>
      <w:r>
        <w:rPr>
          <w:rFonts w:hint="eastAsia" w:ascii="仿宋" w:hAnsi="仿宋" w:eastAsia="仿宋" w:cs="仿宋"/>
          <w:b/>
          <w:bCs/>
          <w:color w:val="auto"/>
          <w:szCs w:val="32"/>
          <w:lang w:eastAsia="zh-CN"/>
        </w:rPr>
        <w:t>设备费</w:t>
      </w:r>
      <w:r>
        <w:rPr>
          <w:rFonts w:hint="eastAsia" w:ascii="仿宋" w:hAnsi="仿宋" w:eastAsia="仿宋" w:cs="仿宋"/>
          <w:color w:val="auto"/>
          <w:szCs w:val="32"/>
        </w:rPr>
        <w:t>：</w:t>
      </w:r>
      <w:r>
        <w:rPr>
          <w:rFonts w:hint="eastAsia" w:ascii="仿宋" w:hAnsi="仿宋" w:eastAsia="仿宋" w:cs="仿宋"/>
          <w:color w:val="auto"/>
          <w:szCs w:val="32"/>
          <w:lang w:eastAsia="zh-CN"/>
        </w:rPr>
        <w:t>共计柒万元整（</w:t>
      </w:r>
      <w:r>
        <w:rPr>
          <w:rFonts w:hint="eastAsia" w:ascii="仿宋" w:hAnsi="仿宋" w:eastAsia="仿宋" w:cs="仿宋"/>
          <w:color w:val="auto"/>
          <w:szCs w:val="32"/>
          <w:lang w:val="en-US" w:eastAsia="zh-CN"/>
        </w:rPr>
        <w:t>70000</w:t>
      </w:r>
      <w:r>
        <w:rPr>
          <w:rFonts w:hint="eastAsia" w:ascii="仿宋" w:hAnsi="仿宋" w:eastAsia="仿宋" w:cs="仿宋"/>
          <w:color w:val="auto"/>
          <w:szCs w:val="32"/>
          <w:lang w:eastAsia="zh-CN"/>
        </w:rPr>
        <w:t>），已使用肆万伍仟肆佰陆拾叁元整</w:t>
      </w:r>
      <w:r>
        <w:rPr>
          <w:rFonts w:hint="eastAsia" w:ascii="仿宋" w:hAnsi="仿宋" w:eastAsia="仿宋" w:cs="仿宋"/>
          <w:color w:val="auto"/>
          <w:szCs w:val="32"/>
        </w:rPr>
        <w:t>（</w:t>
      </w:r>
      <w:r>
        <w:rPr>
          <w:rFonts w:ascii="Arial" w:hAnsi="Arial" w:eastAsia="仿宋" w:cs="Arial"/>
          <w:color w:val="auto"/>
          <w:szCs w:val="32"/>
        </w:rPr>
        <w:t>¥</w:t>
      </w:r>
      <w:r>
        <w:rPr>
          <w:rFonts w:hint="eastAsia" w:ascii="仿宋" w:hAnsi="仿宋" w:eastAsia="仿宋" w:cs="仿宋"/>
          <w:color w:val="auto"/>
          <w:szCs w:val="32"/>
          <w:lang w:val="en-US" w:eastAsia="zh-CN"/>
        </w:rPr>
        <w:t>45463</w:t>
      </w:r>
      <w:r>
        <w:rPr>
          <w:rFonts w:hint="eastAsia" w:ascii="仿宋" w:hAnsi="仿宋" w:eastAsia="仿宋" w:cs="仿宋"/>
          <w:color w:val="auto"/>
          <w:szCs w:val="32"/>
        </w:rPr>
        <w:t>元）</w:t>
      </w:r>
      <w:r>
        <w:rPr>
          <w:rFonts w:hint="eastAsia" w:ascii="仿宋" w:hAnsi="仿宋" w:eastAsia="仿宋" w:cs="仿宋"/>
          <w:color w:val="auto"/>
          <w:szCs w:val="32"/>
          <w:lang w:eastAsia="zh-CN"/>
        </w:rPr>
        <w:t>；剩余贰万肆仟伍佰叁拾柒元整（</w:t>
      </w:r>
      <w:r>
        <w:rPr>
          <w:rFonts w:hint="eastAsia" w:ascii="仿宋" w:hAnsi="仿宋" w:eastAsia="仿宋" w:cs="仿宋"/>
          <w:color w:val="auto"/>
          <w:szCs w:val="32"/>
          <w:lang w:val="en-US" w:eastAsia="zh-CN"/>
        </w:rPr>
        <w:t>24537</w:t>
      </w:r>
      <w:r>
        <w:rPr>
          <w:rFonts w:hint="eastAsia" w:ascii="仿宋" w:hAnsi="仿宋" w:eastAsia="仿宋" w:cs="仿宋"/>
          <w:color w:val="auto"/>
          <w:szCs w:val="32"/>
          <w:lang w:eastAsia="zh-CN"/>
        </w:rPr>
        <w:t>）。</w:t>
      </w:r>
    </w:p>
    <w:p>
      <w:pPr>
        <w:pStyle w:val="2"/>
        <w:ind w:left="0" w:leftChars="0" w:firstLine="643" w:firstLineChars="200"/>
        <w:rPr>
          <w:rFonts w:hint="default" w:ascii="仿宋" w:hAnsi="仿宋" w:eastAsia="仿宋" w:cs="仿宋"/>
          <w:color w:val="auto"/>
          <w:szCs w:val="32"/>
          <w:lang w:val="en-US" w:eastAsia="zh-CN"/>
        </w:rPr>
      </w:pPr>
      <w:r>
        <w:rPr>
          <w:rFonts w:hint="eastAsia" w:ascii="仿宋" w:hAnsi="仿宋" w:eastAsia="仿宋" w:cs="仿宋"/>
          <w:b/>
          <w:bCs/>
          <w:color w:val="auto"/>
          <w:szCs w:val="32"/>
          <w:lang w:eastAsia="zh-CN"/>
        </w:rPr>
        <w:t>材料费</w:t>
      </w:r>
      <w:r>
        <w:rPr>
          <w:rFonts w:hint="eastAsia" w:ascii="仿宋" w:hAnsi="仿宋" w:eastAsia="仿宋" w:cs="仿宋"/>
          <w:b/>
          <w:bCs/>
          <w:color w:val="auto"/>
          <w:szCs w:val="32"/>
        </w:rPr>
        <w:t>：</w:t>
      </w:r>
      <w:r>
        <w:rPr>
          <w:rFonts w:hint="eastAsia" w:ascii="仿宋" w:hAnsi="仿宋" w:eastAsia="仿宋" w:cs="仿宋"/>
          <w:color w:val="auto"/>
          <w:szCs w:val="32"/>
          <w:lang w:eastAsia="zh-CN"/>
        </w:rPr>
        <w:t>共计拾叁万肆仟捌佰肆拾元整（</w:t>
      </w:r>
      <w:r>
        <w:rPr>
          <w:rFonts w:hint="eastAsia" w:ascii="仿宋" w:hAnsi="仿宋" w:eastAsia="仿宋" w:cs="仿宋"/>
          <w:color w:val="auto"/>
          <w:szCs w:val="32"/>
          <w:lang w:val="en-US" w:eastAsia="zh-CN"/>
        </w:rPr>
        <w:t>134840</w:t>
      </w:r>
      <w:r>
        <w:rPr>
          <w:rFonts w:hint="eastAsia" w:ascii="仿宋" w:hAnsi="仿宋" w:eastAsia="仿宋" w:cs="仿宋"/>
          <w:color w:val="auto"/>
          <w:szCs w:val="32"/>
          <w:lang w:eastAsia="zh-CN"/>
        </w:rPr>
        <w:t>），已使用捌万贰仟玖佰壹拾贰元整</w:t>
      </w:r>
      <w:r>
        <w:rPr>
          <w:rFonts w:hint="eastAsia" w:ascii="仿宋" w:hAnsi="仿宋" w:eastAsia="仿宋" w:cs="仿宋"/>
          <w:color w:val="auto"/>
          <w:szCs w:val="32"/>
        </w:rPr>
        <w:t>（</w:t>
      </w:r>
      <w:r>
        <w:rPr>
          <w:rFonts w:ascii="Arial" w:hAnsi="Arial" w:eastAsia="仿宋" w:cs="Arial"/>
          <w:color w:val="auto"/>
          <w:szCs w:val="32"/>
        </w:rPr>
        <w:t>¥</w:t>
      </w:r>
      <w:r>
        <w:rPr>
          <w:rFonts w:hint="eastAsia" w:ascii="仿宋" w:hAnsi="仿宋" w:eastAsia="仿宋" w:cs="仿宋"/>
          <w:color w:val="auto"/>
          <w:szCs w:val="32"/>
          <w:lang w:val="en-US" w:eastAsia="zh-CN"/>
        </w:rPr>
        <w:t>82912</w:t>
      </w:r>
      <w:r>
        <w:rPr>
          <w:rFonts w:hint="eastAsia" w:ascii="仿宋" w:hAnsi="仿宋" w:eastAsia="仿宋" w:cs="仿宋"/>
          <w:color w:val="auto"/>
          <w:szCs w:val="32"/>
        </w:rPr>
        <w:t>元）</w:t>
      </w:r>
      <w:r>
        <w:rPr>
          <w:rFonts w:hint="eastAsia" w:ascii="仿宋" w:hAnsi="仿宋" w:eastAsia="仿宋" w:cs="仿宋"/>
          <w:color w:val="auto"/>
          <w:szCs w:val="32"/>
          <w:lang w:eastAsia="zh-CN"/>
        </w:rPr>
        <w:t>；剩余伍万壹仟玖佰贰拾捌元整（</w:t>
      </w:r>
      <w:r>
        <w:rPr>
          <w:rFonts w:hint="eastAsia" w:ascii="仿宋" w:hAnsi="仿宋" w:eastAsia="仿宋" w:cs="仿宋"/>
          <w:color w:val="auto"/>
          <w:szCs w:val="32"/>
          <w:lang w:val="en-US" w:eastAsia="zh-CN"/>
        </w:rPr>
        <w:t>51928</w:t>
      </w:r>
      <w:r>
        <w:rPr>
          <w:rFonts w:hint="eastAsia" w:ascii="仿宋" w:hAnsi="仿宋" w:eastAsia="仿宋" w:cs="仿宋"/>
          <w:color w:val="auto"/>
          <w:szCs w:val="32"/>
          <w:lang w:eastAsia="zh-CN"/>
        </w:rPr>
        <w:t>）。</w:t>
      </w:r>
    </w:p>
    <w:p>
      <w:pPr>
        <w:pStyle w:val="2"/>
        <w:ind w:left="0" w:leftChars="0" w:firstLine="643" w:firstLineChars="200"/>
        <w:rPr>
          <w:rFonts w:hint="eastAsia" w:ascii="仿宋" w:hAnsi="仿宋" w:eastAsia="仿宋" w:cs="仿宋"/>
          <w:color w:val="auto"/>
          <w:szCs w:val="32"/>
          <w:lang w:val="en-US" w:eastAsia="zh-CN"/>
        </w:rPr>
      </w:pPr>
      <w:r>
        <w:rPr>
          <w:rFonts w:hint="eastAsia" w:ascii="仿宋" w:hAnsi="仿宋" w:eastAsia="仿宋" w:cs="仿宋"/>
          <w:b/>
          <w:bCs/>
          <w:color w:val="auto"/>
          <w:szCs w:val="32"/>
          <w:lang w:eastAsia="zh-CN"/>
        </w:rPr>
        <w:t>燃料动力费</w:t>
      </w:r>
      <w:r>
        <w:rPr>
          <w:rFonts w:hint="eastAsia" w:ascii="仿宋" w:hAnsi="仿宋" w:eastAsia="仿宋" w:cs="仿宋"/>
          <w:b/>
          <w:bCs/>
          <w:color w:val="auto"/>
          <w:szCs w:val="32"/>
        </w:rPr>
        <w:t>：</w:t>
      </w:r>
      <w:r>
        <w:rPr>
          <w:rFonts w:hint="eastAsia" w:ascii="仿宋" w:hAnsi="仿宋" w:eastAsia="仿宋" w:cs="仿宋"/>
          <w:color w:val="auto"/>
          <w:szCs w:val="32"/>
          <w:lang w:eastAsia="zh-CN"/>
        </w:rPr>
        <w:t>共计伍仟元整（</w:t>
      </w:r>
      <w:r>
        <w:rPr>
          <w:rFonts w:hint="eastAsia" w:ascii="仿宋" w:hAnsi="仿宋" w:eastAsia="仿宋" w:cs="仿宋"/>
          <w:color w:val="auto"/>
          <w:szCs w:val="32"/>
          <w:lang w:val="en-US" w:eastAsia="zh-CN"/>
        </w:rPr>
        <w:t>5000</w:t>
      </w:r>
      <w:r>
        <w:rPr>
          <w:rFonts w:hint="eastAsia" w:ascii="仿宋" w:hAnsi="仿宋" w:eastAsia="仿宋" w:cs="仿宋"/>
          <w:color w:val="auto"/>
          <w:szCs w:val="32"/>
          <w:lang w:eastAsia="zh-CN"/>
        </w:rPr>
        <w:t>），已使用贰仟零陆十元整</w:t>
      </w:r>
      <w:r>
        <w:rPr>
          <w:rFonts w:hint="eastAsia" w:ascii="仿宋" w:hAnsi="仿宋" w:eastAsia="仿宋" w:cs="仿宋"/>
          <w:color w:val="auto"/>
          <w:szCs w:val="32"/>
        </w:rPr>
        <w:t>（</w:t>
      </w:r>
      <w:r>
        <w:rPr>
          <w:rFonts w:ascii="Arial" w:hAnsi="Arial" w:eastAsia="仿宋" w:cs="Arial"/>
          <w:color w:val="auto"/>
          <w:szCs w:val="32"/>
        </w:rPr>
        <w:t>¥</w:t>
      </w:r>
      <w:r>
        <w:rPr>
          <w:rFonts w:hint="eastAsia" w:ascii="仿宋" w:hAnsi="仿宋" w:eastAsia="仿宋" w:cs="仿宋"/>
          <w:color w:val="auto"/>
          <w:szCs w:val="32"/>
          <w:lang w:val="en-US" w:eastAsia="zh-CN"/>
        </w:rPr>
        <w:t>2060</w:t>
      </w:r>
      <w:r>
        <w:rPr>
          <w:rFonts w:hint="eastAsia" w:ascii="仿宋" w:hAnsi="仿宋" w:eastAsia="仿宋" w:cs="仿宋"/>
          <w:color w:val="auto"/>
          <w:szCs w:val="32"/>
        </w:rPr>
        <w:t>元），</w:t>
      </w:r>
      <w:r>
        <w:rPr>
          <w:rFonts w:hint="eastAsia" w:ascii="仿宋" w:hAnsi="仿宋" w:eastAsia="仿宋" w:cs="仿宋"/>
          <w:color w:val="auto"/>
          <w:szCs w:val="32"/>
          <w:lang w:eastAsia="zh-CN"/>
        </w:rPr>
        <w:t>剩余贰仟玖佰肆拾元整（</w:t>
      </w:r>
      <w:r>
        <w:rPr>
          <w:rFonts w:hint="eastAsia" w:ascii="仿宋" w:hAnsi="仿宋" w:eastAsia="仿宋" w:cs="仿宋"/>
          <w:color w:val="auto"/>
          <w:szCs w:val="32"/>
          <w:lang w:val="en-US" w:eastAsia="zh-CN"/>
        </w:rPr>
        <w:t>2940</w:t>
      </w: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w:t>
      </w:r>
    </w:p>
    <w:p>
      <w:pPr>
        <w:pStyle w:val="2"/>
        <w:ind w:left="0" w:leftChars="0" w:firstLine="643" w:firstLineChars="200"/>
        <w:rPr>
          <w:rFonts w:hint="eastAsia" w:ascii="仿宋" w:hAnsi="仿宋" w:eastAsia="仿宋" w:cs="仿宋"/>
          <w:color w:val="auto"/>
          <w:szCs w:val="32"/>
          <w:lang w:eastAsia="zh-CN"/>
        </w:rPr>
      </w:pPr>
      <w:r>
        <w:rPr>
          <w:rFonts w:hint="eastAsia" w:ascii="仿宋" w:hAnsi="仿宋" w:eastAsia="仿宋" w:cs="仿宋"/>
          <w:b/>
          <w:bCs/>
          <w:color w:val="auto"/>
          <w:szCs w:val="32"/>
          <w:lang w:eastAsia="zh-CN"/>
        </w:rPr>
        <w:t>测试及化验费：</w:t>
      </w:r>
      <w:r>
        <w:rPr>
          <w:rFonts w:hint="eastAsia" w:ascii="仿宋" w:hAnsi="仿宋" w:eastAsia="仿宋" w:cs="仿宋"/>
          <w:color w:val="auto"/>
          <w:szCs w:val="32"/>
          <w:lang w:eastAsia="zh-CN"/>
        </w:rPr>
        <w:t>共计贰万元整（</w:t>
      </w:r>
      <w:r>
        <w:rPr>
          <w:rFonts w:hint="eastAsia" w:ascii="仿宋" w:hAnsi="仿宋" w:eastAsia="仿宋" w:cs="仿宋"/>
          <w:color w:val="auto"/>
          <w:szCs w:val="32"/>
          <w:lang w:val="en-US" w:eastAsia="zh-CN"/>
        </w:rPr>
        <w:t>20000</w:t>
      </w:r>
      <w:r>
        <w:rPr>
          <w:rFonts w:hint="eastAsia" w:ascii="仿宋" w:hAnsi="仿宋" w:eastAsia="仿宋" w:cs="仿宋"/>
          <w:color w:val="auto"/>
          <w:szCs w:val="32"/>
          <w:lang w:eastAsia="zh-CN"/>
        </w:rPr>
        <w:t>），已使用壹万捌仟伍佰元整（</w:t>
      </w:r>
      <w:r>
        <w:rPr>
          <w:rFonts w:hint="eastAsia" w:ascii="仿宋" w:hAnsi="仿宋" w:eastAsia="仿宋" w:cs="仿宋"/>
          <w:color w:val="auto"/>
          <w:szCs w:val="32"/>
          <w:lang w:val="en-US" w:eastAsia="zh-CN"/>
        </w:rPr>
        <w:t>18500</w:t>
      </w:r>
      <w:r>
        <w:rPr>
          <w:rFonts w:hint="eastAsia" w:ascii="仿宋" w:hAnsi="仿宋" w:eastAsia="仿宋" w:cs="仿宋"/>
          <w:color w:val="auto"/>
          <w:szCs w:val="32"/>
          <w:lang w:eastAsia="zh-CN"/>
        </w:rPr>
        <w:t>），剩余壹仟伍佰元整（</w:t>
      </w:r>
      <w:r>
        <w:rPr>
          <w:rFonts w:hint="eastAsia" w:ascii="仿宋" w:hAnsi="仿宋" w:eastAsia="仿宋" w:cs="仿宋"/>
          <w:color w:val="auto"/>
          <w:szCs w:val="32"/>
          <w:lang w:val="en-US" w:eastAsia="zh-CN"/>
        </w:rPr>
        <w:t>1500</w:t>
      </w:r>
      <w:r>
        <w:rPr>
          <w:rFonts w:hint="eastAsia" w:ascii="仿宋" w:hAnsi="仿宋" w:eastAsia="仿宋" w:cs="仿宋"/>
          <w:color w:val="auto"/>
          <w:szCs w:val="32"/>
          <w:lang w:eastAsia="zh-CN"/>
        </w:rPr>
        <w:t>）。</w:t>
      </w:r>
    </w:p>
    <w:p>
      <w:pPr>
        <w:ind w:firstLine="643" w:firstLineChars="200"/>
        <w:rPr>
          <w:rFonts w:hint="eastAsia" w:eastAsia="仿宋"/>
          <w:color w:val="auto"/>
          <w:lang w:val="en-US" w:eastAsia="zh-CN"/>
        </w:rPr>
      </w:pPr>
      <w:r>
        <w:rPr>
          <w:rFonts w:hint="eastAsia" w:ascii="仿宋" w:hAnsi="仿宋" w:eastAsia="仿宋" w:cs="仿宋"/>
          <w:b/>
          <w:bCs/>
          <w:color w:val="auto"/>
          <w:szCs w:val="32"/>
          <w:lang w:val="en-US" w:eastAsia="zh-CN"/>
        </w:rPr>
        <w:t>差旅费：</w:t>
      </w:r>
      <w:r>
        <w:rPr>
          <w:rFonts w:hint="eastAsia" w:ascii="仿宋" w:hAnsi="仿宋" w:eastAsia="仿宋" w:cs="仿宋"/>
          <w:color w:val="auto"/>
          <w:szCs w:val="32"/>
          <w:lang w:eastAsia="zh-CN"/>
        </w:rPr>
        <w:t>共计玖万贰仟壹佰陆十元整（</w:t>
      </w:r>
      <w:r>
        <w:rPr>
          <w:rFonts w:hint="eastAsia" w:ascii="仿宋" w:hAnsi="仿宋" w:eastAsia="仿宋" w:cs="仿宋"/>
          <w:color w:val="auto"/>
          <w:szCs w:val="32"/>
          <w:lang w:val="en-US" w:eastAsia="zh-CN"/>
        </w:rPr>
        <w:t>92160</w:t>
      </w: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,已使用捌万零壹佰玖拾伍元整（80195），剩余壹万壹仟玖佰陆拾伍圆整（11965）。</w:t>
      </w:r>
    </w:p>
    <w:p>
      <w:pPr>
        <w:pStyle w:val="2"/>
        <w:ind w:left="0" w:leftChars="0" w:firstLine="643" w:firstLineChars="200"/>
        <w:rPr>
          <w:rFonts w:hint="eastAsia" w:ascii="仿宋" w:hAnsi="仿宋" w:eastAsia="仿宋" w:cs="仿宋"/>
          <w:b w:val="0"/>
          <w:bCs w:val="0"/>
          <w:color w:val="auto"/>
          <w:szCs w:val="32"/>
          <w:lang w:val="en-US" w:eastAsia="zh-CN"/>
        </w:rPr>
      </w:pPr>
      <w:r>
        <w:rPr>
          <w:rFonts w:hint="eastAsia" w:ascii="仿宋" w:hAnsi="仿宋" w:eastAsia="仿宋" w:cs="仿宋"/>
          <w:b/>
          <w:bCs/>
          <w:color w:val="auto"/>
          <w:szCs w:val="32"/>
          <w:lang w:eastAsia="zh-CN"/>
        </w:rPr>
        <w:t>出版</w:t>
      </w:r>
      <w:r>
        <w:rPr>
          <w:rFonts w:hint="eastAsia" w:ascii="仿宋" w:hAnsi="仿宋" w:eastAsia="仿宋" w:cs="仿宋"/>
          <w:b/>
          <w:bCs/>
          <w:color w:val="auto"/>
          <w:szCs w:val="32"/>
          <w:lang w:val="en-US" w:eastAsia="zh-CN"/>
        </w:rPr>
        <w:t>/文献/信息传播/知识产权事务费：</w:t>
      </w:r>
      <w:r>
        <w:rPr>
          <w:rFonts w:hint="eastAsia" w:ascii="仿宋" w:hAnsi="仿宋" w:eastAsia="仿宋" w:cs="仿宋"/>
          <w:b w:val="0"/>
          <w:bCs w:val="0"/>
          <w:color w:val="auto"/>
          <w:szCs w:val="32"/>
          <w:lang w:val="en-US" w:eastAsia="zh-CN"/>
        </w:rPr>
        <w:t>共计叁万元整（30000），已使用玖仟零叁拾伍元整（9035），剩余贰万零玖佰陆拾伍元整（20965）。</w:t>
      </w:r>
    </w:p>
    <w:p>
      <w:pPr>
        <w:ind w:firstLine="643" w:firstLineChars="200"/>
        <w:rPr>
          <w:rFonts w:eastAsia="仿宋"/>
          <w:color w:val="FF0000"/>
        </w:rPr>
      </w:pPr>
      <w:r>
        <w:rPr>
          <w:rFonts w:hint="eastAsia" w:ascii="仿宋" w:hAnsi="仿宋" w:eastAsia="仿宋" w:cs="仿宋"/>
          <w:b/>
          <w:bCs/>
          <w:color w:val="auto"/>
          <w:szCs w:val="32"/>
          <w:lang w:val="en-US" w:eastAsia="zh-CN"/>
        </w:rPr>
        <w:t>劳务费：共计玖万元整（90000），</w:t>
      </w:r>
      <w:r>
        <w:rPr>
          <w:rFonts w:hint="eastAsia" w:ascii="仿宋" w:hAnsi="仿宋" w:eastAsia="仿宋" w:cs="仿宋"/>
          <w:b w:val="0"/>
          <w:bCs w:val="0"/>
          <w:color w:val="auto"/>
          <w:szCs w:val="32"/>
          <w:lang w:val="en-US" w:eastAsia="zh-CN"/>
        </w:rPr>
        <w:t>已使用柒万伍千零叁拾捌元整（75038），剩余壹万肆仟玖佰陆拾贰元整（14962）。</w:t>
      </w:r>
    </w:p>
    <w:p>
      <w:pPr>
        <w:spacing w:line="560" w:lineRule="exact"/>
        <w:ind w:firstLine="640" w:firstLineChars="200"/>
        <w:rPr>
          <w:b/>
          <w:bCs/>
        </w:rPr>
      </w:pPr>
      <w:r>
        <w:fldChar w:fldCharType="begin"/>
      </w:r>
      <w:r>
        <w:instrText xml:space="preserve"> HYPERLINK \l "_Toc434746189" </w:instrText>
      </w:r>
      <w:r>
        <w:fldChar w:fldCharType="separate"/>
      </w:r>
      <w:r>
        <w:rPr>
          <w:rFonts w:hint="eastAsia" w:ascii="楷体_GB2312" w:eastAsia="楷体_GB2312"/>
          <w:b/>
          <w:bCs/>
          <w:spacing w:val="6"/>
          <w:szCs w:val="32"/>
        </w:rPr>
        <w:t>（三）项目组织情况及实施进展情况</w:t>
      </w:r>
      <w:r>
        <w:rPr>
          <w:rFonts w:hint="eastAsia" w:ascii="楷体_GB2312" w:eastAsia="楷体_GB2312"/>
          <w:b/>
          <w:bCs/>
          <w:spacing w:val="6"/>
          <w:szCs w:val="32"/>
        </w:rPr>
        <w:fldChar w:fldCharType="end"/>
      </w:r>
    </w:p>
    <w:p>
      <w:pPr>
        <w:adjustRightInd w:val="0"/>
        <w:snapToGrid w:val="0"/>
        <w:spacing w:line="580" w:lineRule="exact"/>
        <w:ind w:firstLine="640" w:firstLineChars="200"/>
        <w:rPr>
          <w:rFonts w:cs="仿宋_GB2312"/>
          <w:szCs w:val="32"/>
        </w:rPr>
      </w:pPr>
      <w:r>
        <w:rPr>
          <w:rFonts w:hint="eastAsia" w:hAnsi="Calibri" w:cs="仿宋_GB2312"/>
          <w:szCs w:val="32"/>
        </w:rPr>
        <w:t>1、香禾种质资源的收集与繁殖和保存</w:t>
      </w:r>
    </w:p>
    <w:p>
      <w:pPr>
        <w:ind w:firstLine="640" w:firstLineChars="200"/>
        <w:rPr>
          <w:rFonts w:hAnsi="宋体" w:cs="宋体"/>
          <w:color w:val="000000"/>
          <w:kern w:val="0"/>
          <w:szCs w:val="32"/>
        </w:rPr>
      </w:pPr>
      <w:r>
        <w:rPr>
          <w:rFonts w:hint="eastAsia" w:hAnsi="Calibri" w:cs="仿宋_GB2312"/>
          <w:szCs w:val="32"/>
        </w:rPr>
        <w:t>根据项目实施方案，项目课题组成员到黔东南州香禾种植区的黎平县、从江县、榕江县、从江县相邻的广西省三江县以及有种植香禾基础的</w:t>
      </w:r>
      <w:r>
        <w:rPr>
          <w:rFonts w:hint="eastAsia" w:hAnsi="宋体" w:cs="宋体"/>
          <w:color w:val="000000"/>
          <w:kern w:val="0"/>
          <w:szCs w:val="32"/>
        </w:rPr>
        <w:t>贵州月亮山九芗农业有限公司和黎平县双江乡黄岗村有机农产品农民专业合作社收集得香禾种质资源431份。通过在从江县高增乡高增村种植观察，从后期长势来看有10份资源不属于香禾类。在种植调查各份资源的生育期、株高、有效穗、籽粒颜色和有无芒等性状。</w:t>
      </w:r>
    </w:p>
    <w:p>
      <w:pPr>
        <w:adjustRightInd w:val="0"/>
        <w:snapToGrid w:val="0"/>
        <w:spacing w:line="360" w:lineRule="auto"/>
        <w:ind w:firstLine="640" w:firstLineChars="200"/>
        <w:rPr>
          <w:rFonts w:hAnsi="宋体" w:cs="宋体"/>
          <w:color w:val="000000"/>
          <w:kern w:val="0"/>
          <w:szCs w:val="32"/>
        </w:rPr>
      </w:pPr>
      <w:r>
        <w:rPr>
          <w:rFonts w:hint="eastAsia" w:hAnsi="Calibri" w:cs="仿宋_GB2312"/>
          <w:szCs w:val="32"/>
        </w:rPr>
        <w:t>通过田间调查，生育期最短的为107天，来自黎平县德化乡平养村收集的六月谷，生育期最长的为169天，来自</w:t>
      </w:r>
      <w:r>
        <w:rPr>
          <w:rFonts w:hint="eastAsia" w:hAnsi="宋体" w:cs="宋体"/>
          <w:color w:val="000000"/>
          <w:kern w:val="0"/>
          <w:szCs w:val="32"/>
        </w:rPr>
        <w:t>黎平县龙额镇八归村收集的苟荣懒，其余的在108—168天之间；株高最矮的是122厘米，来自黎平县双江镇黄岗村收集的打谷糯，最高的为200厘米，来自黎平县双江镇寨高村收集的黑麻禾，其余的在123—199厘米之间；亩有效穗最低的为6.67万穗，来自从江县高增乡美德村收集的今告嫩，亩有效穗最多的是16.67万穗，来自黎平县水口镇水口村收集的苟格，其余的在6.76—16.52万穗之间；芒的类型有长芒、短芒和无芒；芒的颜色有紫色、褐色、白色、黄色；谷粒颜色有黄色、褐色和紫色。目前收集得的香禾资源已经完成编号保存。</w:t>
      </w:r>
    </w:p>
    <w:p>
      <w:pPr>
        <w:adjustRightInd w:val="0"/>
        <w:snapToGrid w:val="0"/>
        <w:spacing w:line="360" w:lineRule="auto"/>
        <w:ind w:firstLine="640" w:firstLineChars="200"/>
        <w:rPr>
          <w:rFonts w:hAnsi="宋体" w:cs="宋体"/>
          <w:color w:val="000000"/>
          <w:kern w:val="0"/>
          <w:szCs w:val="32"/>
        </w:rPr>
      </w:pPr>
      <w:r>
        <w:rPr>
          <w:rFonts w:hint="eastAsia" w:hAnsi="宋体" w:cs="宋体"/>
          <w:color w:val="000000"/>
          <w:kern w:val="0"/>
          <w:szCs w:val="32"/>
        </w:rPr>
        <w:t>2、香禾种质资源创新及加代繁殖</w:t>
      </w:r>
    </w:p>
    <w:p>
      <w:pPr>
        <w:adjustRightInd w:val="0"/>
        <w:snapToGrid w:val="0"/>
        <w:spacing w:line="360" w:lineRule="auto"/>
        <w:ind w:firstLine="640" w:firstLineChars="200"/>
        <w:rPr>
          <w:rFonts w:cs="仿宋_GB2312"/>
          <w:szCs w:val="32"/>
        </w:rPr>
      </w:pPr>
      <w:r>
        <w:rPr>
          <w:rFonts w:hint="eastAsia" w:hAnsi="Calibri" w:cs="仿宋_GB2312"/>
          <w:szCs w:val="32"/>
        </w:rPr>
        <w:t>在高增乡高增村试验田，利用性状较好香禾种质资源和籼稻恢复系作亲本，通过香禾×香禾或香禾×籼稻恢复系的杂交方式，杂交总计31份，收得28份材料已经拿到海南加代。其次加代繁殖没有稳定的香禾创新材料207份，通过筛选收得单株材料183份。</w:t>
      </w:r>
      <w:r>
        <w:rPr>
          <w:rFonts w:hint="eastAsia" w:hAnsi="宋体" w:cs="仿宋_GB2312"/>
          <w:color w:val="000000"/>
          <w:szCs w:val="32"/>
        </w:rPr>
        <w:t>通过筛选和收集整理，</w:t>
      </w:r>
      <w:r>
        <w:rPr>
          <w:rFonts w:hint="eastAsia" w:hAnsi="宋体" w:cs="仿宋_GB2312"/>
          <w:szCs w:val="32"/>
        </w:rPr>
        <w:t>综合性状优良的骨干材料38份。</w:t>
      </w:r>
      <w:r>
        <w:rPr>
          <w:rFonts w:hint="eastAsia" w:hAnsi="宋体" w:cs="仿宋_GB2312"/>
          <w:color w:val="000000"/>
          <w:szCs w:val="32"/>
        </w:rPr>
        <w:t>如苟高千、</w:t>
      </w:r>
      <w:r>
        <w:rPr>
          <w:rFonts w:hint="eastAsia" w:hAnsi="宋体" w:cs="宋体"/>
          <w:szCs w:val="32"/>
        </w:rPr>
        <w:t>苟嫩酷、荣兰</w:t>
      </w:r>
      <w:r>
        <w:rPr>
          <w:rFonts w:hint="eastAsia" w:hAnsi="宋体" w:cs="仿宋_GB2312"/>
          <w:color w:val="000000"/>
          <w:szCs w:val="32"/>
        </w:rPr>
        <w:t>这几个材料产量都比较高，还有凯禾07-005、凯禾07-010米质达到国家颁布的一级米标准。</w:t>
      </w:r>
      <w:r>
        <w:rPr>
          <w:rFonts w:hint="eastAsia" w:hAnsi="宋体" w:cs="宋体"/>
          <w:szCs w:val="32"/>
        </w:rPr>
        <w:t>近来筛选的</w:t>
      </w:r>
      <w:r>
        <w:rPr>
          <w:rFonts w:hint="eastAsia" w:hAnsi="宋体" w:cs="仿宋_GB2312"/>
          <w:szCs w:val="32"/>
        </w:rPr>
        <w:t>新组合41207、41205、30601、31421、30603、31423、41210，经观察30601、31423、3142三个组合田间表现较好，丰富了我省香禾糯种质资源。</w:t>
      </w:r>
    </w:p>
    <w:p>
      <w:pPr>
        <w:adjustRightInd w:val="0"/>
        <w:snapToGrid w:val="0"/>
        <w:spacing w:line="360" w:lineRule="auto"/>
        <w:ind w:firstLine="640" w:firstLineChars="200"/>
        <w:rPr>
          <w:rFonts w:cs="仿宋_GB2312"/>
          <w:szCs w:val="32"/>
        </w:rPr>
      </w:pPr>
      <w:r>
        <w:rPr>
          <w:rFonts w:hint="eastAsia" w:hAnsi="Calibri" w:cs="仿宋_GB2312"/>
          <w:szCs w:val="32"/>
        </w:rPr>
        <w:t>3、完成香禾品种苟当1号、苟当2号繁殖及提纯复壮</w:t>
      </w:r>
    </w:p>
    <w:p>
      <w:pPr>
        <w:adjustRightInd w:val="0"/>
        <w:snapToGrid w:val="0"/>
        <w:spacing w:line="360" w:lineRule="auto"/>
        <w:ind w:firstLine="640" w:firstLineChars="200"/>
        <w:rPr>
          <w:rFonts w:cs="仿宋_GB2312"/>
          <w:szCs w:val="32"/>
        </w:rPr>
      </w:pPr>
      <w:r>
        <w:rPr>
          <w:rFonts w:hint="eastAsia" w:hAnsi="Calibri" w:cs="仿宋_GB2312"/>
          <w:szCs w:val="32"/>
        </w:rPr>
        <w:t>在高增乡建华村完成5亩香禾品种苟当1号和苟当2号的繁殖和提纯复壮。通过后期田间除杂除劣，提高种子纯度，收得苟当1号种子220斤左右，苟当2号种子240斤左右。筛选收得苟当1号28个单株，苟当2号21个单株，可作明年继续提纯复壮。</w:t>
      </w:r>
    </w:p>
    <w:p>
      <w:pPr>
        <w:adjustRightInd w:val="0"/>
        <w:snapToGrid w:val="0"/>
        <w:spacing w:line="360" w:lineRule="auto"/>
        <w:ind w:firstLine="640" w:firstLineChars="200"/>
        <w:rPr>
          <w:rFonts w:cs="仿宋_GB2312"/>
          <w:szCs w:val="32"/>
        </w:rPr>
      </w:pPr>
      <w:r>
        <w:rPr>
          <w:rFonts w:hint="eastAsia" w:hAnsi="Calibri" w:cs="仿宋_GB2312"/>
          <w:szCs w:val="32"/>
        </w:rPr>
        <w:t>4、建立香禾标本室1个</w:t>
      </w:r>
    </w:p>
    <w:p>
      <w:pPr>
        <w:adjustRightInd w:val="0"/>
        <w:snapToGrid w:val="0"/>
        <w:spacing w:line="360" w:lineRule="auto"/>
        <w:ind w:firstLine="640" w:firstLineChars="200"/>
        <w:rPr>
          <w:rFonts w:cs="仿宋_GB2312"/>
          <w:szCs w:val="32"/>
        </w:rPr>
      </w:pPr>
      <w:r>
        <w:rPr>
          <w:rFonts w:hint="eastAsia" w:hAnsi="Calibri" w:cs="仿宋_GB2312"/>
          <w:szCs w:val="32"/>
        </w:rPr>
        <w:t>通过今年收得的香禾种质资源选择具有代表性的品种制作成标本盒30个，米样玻璃观察杯30个，各类香禾种植区域劳动工具18份。</w:t>
      </w:r>
    </w:p>
    <w:p>
      <w:pPr>
        <w:spacing w:line="560" w:lineRule="exact"/>
        <w:ind w:firstLine="667" w:firstLineChars="200"/>
        <w:rPr>
          <w:rFonts w:ascii="楷体_GB2312" w:eastAsia="楷体_GB2312"/>
          <w:spacing w:val="6"/>
          <w:szCs w:val="32"/>
        </w:rPr>
      </w:pPr>
      <w:r>
        <w:rPr>
          <w:rFonts w:hint="eastAsia" w:ascii="楷体_GB2312" w:eastAsia="楷体_GB2312"/>
          <w:b/>
          <w:bCs/>
          <w:spacing w:val="6"/>
          <w:szCs w:val="32"/>
        </w:rPr>
        <w:t>（四）</w:t>
      </w:r>
      <w:r>
        <w:fldChar w:fldCharType="begin"/>
      </w:r>
      <w:r>
        <w:instrText xml:space="preserve"> HYPERLINK \l "_Toc434746188" </w:instrText>
      </w:r>
      <w:r>
        <w:fldChar w:fldCharType="separate"/>
      </w:r>
      <w:r>
        <w:rPr>
          <w:rFonts w:hint="eastAsia" w:ascii="楷体_GB2312" w:eastAsia="楷体_GB2312"/>
          <w:b/>
          <w:bCs/>
          <w:spacing w:val="6"/>
          <w:szCs w:val="32"/>
        </w:rPr>
        <w:t>项目绩效目标</w:t>
      </w:r>
      <w:r>
        <w:rPr>
          <w:rFonts w:hint="eastAsia" w:ascii="楷体_GB2312" w:eastAsia="楷体_GB2312"/>
          <w:b/>
          <w:bCs/>
          <w:spacing w:val="6"/>
          <w:szCs w:val="32"/>
        </w:rPr>
        <w:fldChar w:fldCharType="end"/>
      </w:r>
      <w:r>
        <w:rPr>
          <w:rFonts w:hint="eastAsia" w:ascii="楷体_GB2312" w:eastAsia="楷体_GB2312"/>
          <w:b/>
          <w:bCs/>
          <w:spacing w:val="6"/>
          <w:szCs w:val="32"/>
        </w:rPr>
        <w:t>情况</w:t>
      </w:r>
    </w:p>
    <w:p>
      <w:pPr>
        <w:spacing w:line="560" w:lineRule="exact"/>
        <w:ind w:firstLine="664" w:firstLineChars="200"/>
      </w:pPr>
      <w:r>
        <w:rPr>
          <w:rFonts w:hint="eastAsia" w:ascii="黑体" w:hAnsi="黑体" w:eastAsia="黑体"/>
          <w:spacing w:val="6"/>
          <w:szCs w:val="32"/>
        </w:rPr>
        <w:t>判断</w:t>
      </w:r>
      <w:r>
        <w:rPr>
          <w:rFonts w:hint="eastAsia" w:hAnsi="仿宋_GB2312" w:cs="仿宋_GB2312"/>
          <w:spacing w:val="6"/>
          <w:szCs w:val="32"/>
          <w:rPrChange w:id="0" w:author="龙熠" w:date="2022-01-14T09:12:00Z">
            <w:rPr>
              <w:rFonts w:hint="eastAsia"/>
              <w:spacing w:val="6"/>
              <w:szCs w:val="32"/>
            </w:rPr>
          </w:rPrChange>
        </w:rPr>
        <w:t>部门所编制的项目</w:t>
      </w:r>
      <w:r>
        <w:rPr>
          <w:rFonts w:hint="eastAsia" w:ascii="黑体" w:hAnsi="黑体" w:eastAsia="黑体"/>
          <w:spacing w:val="6"/>
          <w:szCs w:val="32"/>
        </w:rPr>
        <w:t>绩效目标</w:t>
      </w:r>
      <w:r>
        <w:rPr>
          <w:rFonts w:hint="eastAsia" w:hAnsi="仿宋_GB2312" w:cs="仿宋_GB2312"/>
          <w:spacing w:val="6"/>
          <w:szCs w:val="32"/>
          <w:rPrChange w:id="1" w:author="龙熠" w:date="2022-01-14T09:12:00Z">
            <w:rPr>
              <w:rFonts w:hint="eastAsia"/>
              <w:spacing w:val="6"/>
              <w:szCs w:val="32"/>
            </w:rPr>
          </w:rPrChange>
        </w:rPr>
        <w:t>是否合理可行，</w:t>
      </w:r>
      <w:r>
        <w:rPr>
          <w:rFonts w:hint="eastAsia" w:ascii="黑体" w:hAnsi="黑体" w:eastAsia="黑体"/>
          <w:spacing w:val="6"/>
          <w:szCs w:val="32"/>
        </w:rPr>
        <w:t>绩效指标</w:t>
      </w:r>
      <w:r>
        <w:rPr>
          <w:rFonts w:hint="eastAsia" w:hAnsi="仿宋_GB2312" w:cs="仿宋_GB2312"/>
          <w:spacing w:val="6"/>
          <w:szCs w:val="32"/>
          <w:rPrChange w:id="2" w:author="龙熠" w:date="2022-01-14T09:12:00Z">
            <w:rPr>
              <w:rFonts w:hint="eastAsia"/>
              <w:spacing w:val="6"/>
              <w:szCs w:val="32"/>
            </w:rPr>
          </w:rPrChange>
        </w:rPr>
        <w:t>是否明确、细化量化、可衡量。部门编制的绩效目标</w:t>
      </w:r>
      <w:r>
        <w:rPr>
          <w:rFonts w:hint="eastAsia" w:ascii="黑体" w:hAnsi="黑体" w:eastAsia="黑体" w:cs="黑体"/>
          <w:spacing w:val="6"/>
          <w:szCs w:val="32"/>
        </w:rPr>
        <w:t>不满足评价条件</w:t>
      </w:r>
      <w:r>
        <w:rPr>
          <w:rFonts w:hint="eastAsia" w:hAnsi="仿宋_GB2312" w:cs="仿宋_GB2312"/>
          <w:spacing w:val="6"/>
          <w:szCs w:val="32"/>
          <w:rPrChange w:id="3" w:author="龙熠" w:date="2022-01-14T09:12:00Z">
            <w:rPr>
              <w:rFonts w:hint="eastAsia"/>
              <w:spacing w:val="6"/>
              <w:szCs w:val="32"/>
            </w:rPr>
          </w:rPrChange>
        </w:rPr>
        <w:t>的，必须根据部门所提供的资料对项目绩效目标及指标再次梳理。再次梳理的</w:t>
      </w:r>
      <w:r>
        <w:rPr>
          <w:rFonts w:hint="eastAsia" w:ascii="黑体" w:hAnsi="黑体" w:eastAsia="黑体" w:cs="黑体"/>
          <w:spacing w:val="6"/>
          <w:szCs w:val="32"/>
        </w:rPr>
        <w:t>绩效目标及指标</w:t>
      </w:r>
      <w:r>
        <w:rPr>
          <w:rFonts w:hint="eastAsia" w:hAnsi="仿宋_GB2312" w:cs="仿宋_GB2312"/>
          <w:spacing w:val="6"/>
          <w:szCs w:val="32"/>
          <w:rPrChange w:id="4" w:author="龙熠" w:date="2022-01-14T09:12:00Z">
            <w:rPr>
              <w:rFonts w:hint="eastAsia"/>
              <w:spacing w:val="6"/>
              <w:szCs w:val="32"/>
            </w:rPr>
          </w:rPrChange>
        </w:rPr>
        <w:t>如下：</w:t>
      </w:r>
    </w:p>
    <w:tbl>
      <w:tblPr>
        <w:tblStyle w:val="9"/>
        <w:tblW w:w="91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0"/>
        <w:gridCol w:w="1134"/>
        <w:gridCol w:w="1134"/>
        <w:gridCol w:w="2694"/>
        <w:gridCol w:w="198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890" w:type="dxa"/>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年度总目标</w:t>
            </w:r>
          </w:p>
        </w:tc>
        <w:tc>
          <w:tcPr>
            <w:tcW w:w="8222" w:type="dxa"/>
            <w:gridSpan w:val="5"/>
            <w:shd w:val="clear" w:color="auto" w:fill="auto"/>
            <w:noWrap/>
            <w:vAlign w:val="center"/>
          </w:tcPr>
          <w:p>
            <w:pPr>
              <w:adjustRightInd w:val="0"/>
              <w:snapToGrid w:val="0"/>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完成建立10</w:t>
            </w:r>
            <w:r>
              <w:rPr>
                <w:rStyle w:val="12"/>
                <w:rFonts w:hint="eastAsia" w:ascii="宋体" w:hAnsi="宋体" w:eastAsia="宋体" w:cs="宋体"/>
                <w:b w:val="0"/>
                <w:bCs w:val="0"/>
                <w:sz w:val="21"/>
                <w:szCs w:val="21"/>
              </w:rPr>
              <w:t>亩</w:t>
            </w:r>
            <w:r>
              <w:rPr>
                <w:rStyle w:val="13"/>
                <w:rFonts w:hint="eastAsia" w:ascii="宋体" w:hAnsi="宋体" w:eastAsia="宋体" w:cs="宋体"/>
                <w:b w:val="0"/>
                <w:bCs w:val="0"/>
                <w:sz w:val="21"/>
                <w:szCs w:val="21"/>
              </w:rPr>
              <w:t>香禾种</w:t>
            </w:r>
            <w:r>
              <w:rPr>
                <w:rStyle w:val="12"/>
                <w:rFonts w:hint="eastAsia" w:ascii="宋体" w:hAnsi="宋体" w:eastAsia="宋体" w:cs="宋体"/>
                <w:b w:val="0"/>
                <w:bCs w:val="0"/>
                <w:sz w:val="21"/>
                <w:szCs w:val="21"/>
              </w:rPr>
              <w:t>质资</w:t>
            </w:r>
            <w:r>
              <w:rPr>
                <w:rStyle w:val="13"/>
                <w:rFonts w:hint="eastAsia" w:ascii="宋体" w:hAnsi="宋体" w:eastAsia="宋体" w:cs="宋体"/>
                <w:b w:val="0"/>
                <w:bCs w:val="0"/>
                <w:sz w:val="21"/>
                <w:szCs w:val="21"/>
              </w:rPr>
              <w:t>源圃，收集400份以上香禾</w:t>
            </w:r>
            <w:r>
              <w:rPr>
                <w:rStyle w:val="12"/>
                <w:rFonts w:hint="eastAsia" w:ascii="宋体" w:hAnsi="宋体" w:eastAsia="宋体" w:cs="宋体"/>
                <w:b w:val="0"/>
                <w:bCs w:val="0"/>
                <w:sz w:val="21"/>
                <w:szCs w:val="21"/>
              </w:rPr>
              <w:t>资</w:t>
            </w:r>
            <w:r>
              <w:rPr>
                <w:rStyle w:val="13"/>
                <w:rFonts w:hint="eastAsia" w:ascii="宋体" w:hAnsi="宋体" w:eastAsia="宋体" w:cs="宋体"/>
                <w:b w:val="0"/>
                <w:bCs w:val="0"/>
                <w:sz w:val="21"/>
                <w:szCs w:val="21"/>
              </w:rPr>
              <w:t>源</w:t>
            </w:r>
            <w:r>
              <w:rPr>
                <w:rStyle w:val="12"/>
                <w:rFonts w:hint="eastAsia" w:ascii="宋体" w:hAnsi="宋体" w:eastAsia="宋体" w:cs="宋体"/>
                <w:b w:val="0"/>
                <w:bCs w:val="0"/>
                <w:sz w:val="21"/>
                <w:szCs w:val="21"/>
              </w:rPr>
              <w:t>进</w:t>
            </w:r>
            <w:r>
              <w:rPr>
                <w:rStyle w:val="13"/>
                <w:rFonts w:hint="eastAsia" w:ascii="宋体" w:hAnsi="宋体" w:eastAsia="宋体" w:cs="宋体"/>
                <w:b w:val="0"/>
                <w:bCs w:val="0"/>
                <w:sz w:val="21"/>
                <w:szCs w:val="21"/>
              </w:rPr>
              <w:t>行繁殖和保存；</w:t>
            </w:r>
            <w:r>
              <w:rPr>
                <w:rFonts w:hint="eastAsia" w:ascii="宋体" w:hAnsi="宋体" w:eastAsia="宋体" w:cs="宋体"/>
                <w:b w:val="0"/>
                <w:bCs w:val="0"/>
                <w:color w:val="000000"/>
                <w:kern w:val="0"/>
                <w:sz w:val="21"/>
                <w:szCs w:val="21"/>
              </w:rPr>
              <w:t>建立5</w:t>
            </w:r>
            <w:r>
              <w:rPr>
                <w:rStyle w:val="12"/>
                <w:rFonts w:hint="eastAsia" w:ascii="宋体" w:hAnsi="宋体" w:eastAsia="宋体" w:cs="宋体"/>
                <w:b w:val="0"/>
                <w:bCs w:val="0"/>
                <w:sz w:val="21"/>
                <w:szCs w:val="21"/>
              </w:rPr>
              <w:t>亩</w:t>
            </w:r>
            <w:r>
              <w:rPr>
                <w:rStyle w:val="13"/>
                <w:rFonts w:hint="eastAsia" w:ascii="宋体" w:hAnsi="宋体" w:eastAsia="宋体" w:cs="宋体"/>
                <w:b w:val="0"/>
                <w:bCs w:val="0"/>
                <w:sz w:val="21"/>
                <w:szCs w:val="21"/>
              </w:rPr>
              <w:t>的香禾提</w:t>
            </w:r>
            <w:r>
              <w:rPr>
                <w:rStyle w:val="12"/>
                <w:rFonts w:hint="eastAsia" w:ascii="宋体" w:hAnsi="宋体" w:eastAsia="宋体" w:cs="宋体"/>
                <w:b w:val="0"/>
                <w:bCs w:val="0"/>
                <w:sz w:val="21"/>
                <w:szCs w:val="21"/>
              </w:rPr>
              <w:t>纯</w:t>
            </w:r>
            <w:r>
              <w:rPr>
                <w:rStyle w:val="13"/>
                <w:rFonts w:hint="eastAsia" w:ascii="宋体" w:hAnsi="宋体" w:eastAsia="宋体" w:cs="宋体"/>
                <w:b w:val="0"/>
                <w:bCs w:val="0"/>
                <w:sz w:val="21"/>
                <w:szCs w:val="21"/>
              </w:rPr>
              <w:t>复</w:t>
            </w:r>
            <w:r>
              <w:rPr>
                <w:rStyle w:val="12"/>
                <w:rFonts w:hint="eastAsia" w:ascii="宋体" w:hAnsi="宋体" w:eastAsia="宋体" w:cs="宋体"/>
                <w:b w:val="0"/>
                <w:bCs w:val="0"/>
                <w:sz w:val="21"/>
                <w:szCs w:val="21"/>
              </w:rPr>
              <w:t>壮</w:t>
            </w:r>
            <w:r>
              <w:rPr>
                <w:rStyle w:val="13"/>
                <w:rFonts w:hint="eastAsia" w:ascii="宋体" w:hAnsi="宋体" w:eastAsia="宋体" w:cs="宋体"/>
                <w:b w:val="0"/>
                <w:bCs w:val="0"/>
                <w:sz w:val="21"/>
                <w:szCs w:val="21"/>
              </w:rPr>
              <w:t>工作，完成繁殖和保存，保</w:t>
            </w:r>
            <w:r>
              <w:rPr>
                <w:rStyle w:val="12"/>
                <w:rFonts w:hint="eastAsia" w:ascii="宋体" w:hAnsi="宋体" w:eastAsia="宋体" w:cs="宋体"/>
                <w:b w:val="0"/>
                <w:bCs w:val="0"/>
                <w:sz w:val="21"/>
                <w:szCs w:val="21"/>
              </w:rPr>
              <w:t>证</w:t>
            </w:r>
            <w:r>
              <w:rPr>
                <w:rStyle w:val="13"/>
                <w:rFonts w:hint="eastAsia" w:ascii="宋体" w:hAnsi="宋体" w:eastAsia="宋体" w:cs="宋体"/>
                <w:b w:val="0"/>
                <w:bCs w:val="0"/>
                <w:sz w:val="21"/>
                <w:szCs w:val="21"/>
              </w:rPr>
              <w:t>种子</w:t>
            </w:r>
            <w:r>
              <w:rPr>
                <w:rStyle w:val="12"/>
                <w:rFonts w:hint="eastAsia" w:ascii="宋体" w:hAnsi="宋体" w:eastAsia="宋体" w:cs="宋体"/>
                <w:b w:val="0"/>
                <w:bCs w:val="0"/>
                <w:sz w:val="21"/>
                <w:szCs w:val="21"/>
              </w:rPr>
              <w:t>纯</w:t>
            </w:r>
            <w:r>
              <w:rPr>
                <w:rStyle w:val="13"/>
                <w:rFonts w:hint="eastAsia" w:ascii="宋体" w:hAnsi="宋体" w:eastAsia="宋体" w:cs="宋体"/>
                <w:b w:val="0"/>
                <w:bCs w:val="0"/>
                <w:sz w:val="21"/>
                <w:szCs w:val="21"/>
              </w:rPr>
              <w:t>度；</w:t>
            </w:r>
            <w:r>
              <w:rPr>
                <w:rFonts w:hint="eastAsia" w:ascii="宋体" w:hAnsi="宋体" w:eastAsia="宋体" w:cs="宋体"/>
                <w:b w:val="0"/>
                <w:bCs w:val="0"/>
                <w:color w:val="000000"/>
                <w:kern w:val="0"/>
                <w:sz w:val="21"/>
                <w:szCs w:val="21"/>
              </w:rPr>
              <w:t>建立5</w:t>
            </w:r>
            <w:r>
              <w:rPr>
                <w:rStyle w:val="12"/>
                <w:rFonts w:hint="eastAsia" w:ascii="宋体" w:hAnsi="宋体" w:eastAsia="宋体" w:cs="宋体"/>
                <w:b w:val="0"/>
                <w:bCs w:val="0"/>
                <w:sz w:val="21"/>
                <w:szCs w:val="21"/>
              </w:rPr>
              <w:t>亩</w:t>
            </w:r>
            <w:r>
              <w:rPr>
                <w:rStyle w:val="13"/>
                <w:rFonts w:hint="eastAsia" w:ascii="宋体" w:hAnsi="宋体" w:eastAsia="宋体" w:cs="宋体"/>
                <w:b w:val="0"/>
                <w:bCs w:val="0"/>
                <w:sz w:val="21"/>
                <w:szCs w:val="21"/>
              </w:rPr>
              <w:t>香禾种</w:t>
            </w:r>
            <w:r>
              <w:rPr>
                <w:rStyle w:val="12"/>
                <w:rFonts w:hint="eastAsia" w:ascii="宋体" w:hAnsi="宋体" w:eastAsia="宋体" w:cs="宋体"/>
                <w:b w:val="0"/>
                <w:bCs w:val="0"/>
                <w:sz w:val="21"/>
                <w:szCs w:val="21"/>
              </w:rPr>
              <w:t>质资</w:t>
            </w:r>
            <w:r>
              <w:rPr>
                <w:rStyle w:val="13"/>
                <w:rFonts w:hint="eastAsia" w:ascii="宋体" w:hAnsi="宋体" w:eastAsia="宋体" w:cs="宋体"/>
                <w:b w:val="0"/>
                <w:bCs w:val="0"/>
                <w:sz w:val="21"/>
                <w:szCs w:val="21"/>
              </w:rPr>
              <w:t>源</w:t>
            </w:r>
            <w:r>
              <w:rPr>
                <w:rStyle w:val="12"/>
                <w:rFonts w:hint="eastAsia" w:ascii="宋体" w:hAnsi="宋体" w:eastAsia="宋体" w:cs="宋体"/>
                <w:b w:val="0"/>
                <w:bCs w:val="0"/>
                <w:sz w:val="21"/>
                <w:szCs w:val="21"/>
              </w:rPr>
              <w:t>创</w:t>
            </w:r>
            <w:r>
              <w:rPr>
                <w:rStyle w:val="13"/>
                <w:rFonts w:hint="eastAsia" w:ascii="宋体" w:hAnsi="宋体" w:eastAsia="宋体" w:cs="宋体"/>
                <w:b w:val="0"/>
                <w:bCs w:val="0"/>
                <w:sz w:val="21"/>
                <w:szCs w:val="21"/>
              </w:rPr>
              <w:t>新利用，繁殖加代材料200份以上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890" w:type="dxa"/>
            <w:vMerge w:val="restart"/>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绩效</w:t>
            </w:r>
          </w:p>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指标</w:t>
            </w:r>
          </w:p>
        </w:tc>
        <w:tc>
          <w:tcPr>
            <w:tcW w:w="1134" w:type="dxa"/>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一级指标</w:t>
            </w:r>
          </w:p>
        </w:tc>
        <w:tc>
          <w:tcPr>
            <w:tcW w:w="1134"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二级指标</w:t>
            </w:r>
          </w:p>
        </w:tc>
        <w:tc>
          <w:tcPr>
            <w:tcW w:w="2694"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三级指标</w:t>
            </w:r>
          </w:p>
        </w:tc>
        <w:tc>
          <w:tcPr>
            <w:tcW w:w="1984" w:type="dxa"/>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年度指标值</w:t>
            </w:r>
          </w:p>
        </w:tc>
        <w:tc>
          <w:tcPr>
            <w:tcW w:w="1276"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890"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vMerge w:val="restart"/>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产出指标</w:t>
            </w:r>
          </w:p>
        </w:tc>
        <w:tc>
          <w:tcPr>
            <w:tcW w:w="1134" w:type="dxa"/>
            <w:vMerge w:val="restart"/>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数量</w:t>
            </w:r>
          </w:p>
        </w:tc>
        <w:tc>
          <w:tcPr>
            <w:tcW w:w="2694"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繁殖香禾种质资源</w:t>
            </w:r>
          </w:p>
        </w:tc>
        <w:tc>
          <w:tcPr>
            <w:tcW w:w="1984" w:type="dxa"/>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400份</w:t>
            </w:r>
          </w:p>
        </w:tc>
        <w:tc>
          <w:tcPr>
            <w:tcW w:w="1276" w:type="dxa"/>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890"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vMerge w:val="continue"/>
            <w:shd w:val="clear" w:color="auto" w:fill="auto"/>
            <w:noWrap/>
            <w:vAlign w:val="center"/>
          </w:tcPr>
          <w:p>
            <w:pPr>
              <w:adjustRightInd w:val="0"/>
              <w:snapToGrid w:val="0"/>
              <w:jc w:val="center"/>
              <w:rPr>
                <w:rFonts w:hint="eastAsia" w:ascii="宋体" w:hAnsi="宋体" w:eastAsia="宋体" w:cs="宋体"/>
                <w:b w:val="0"/>
                <w:bCs w:val="0"/>
                <w:color w:val="000000"/>
                <w:sz w:val="21"/>
                <w:szCs w:val="21"/>
              </w:rPr>
            </w:pPr>
          </w:p>
        </w:tc>
        <w:tc>
          <w:tcPr>
            <w:tcW w:w="2694"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繁殖香禾加代材料资源</w:t>
            </w:r>
          </w:p>
        </w:tc>
        <w:tc>
          <w:tcPr>
            <w:tcW w:w="1984" w:type="dxa"/>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200份</w:t>
            </w:r>
          </w:p>
        </w:tc>
        <w:tc>
          <w:tcPr>
            <w:tcW w:w="1276" w:type="dxa"/>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890"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质量</w:t>
            </w:r>
          </w:p>
        </w:tc>
        <w:tc>
          <w:tcPr>
            <w:tcW w:w="2694"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完成资源鉴定、评价和保存</w:t>
            </w:r>
          </w:p>
        </w:tc>
        <w:tc>
          <w:tcPr>
            <w:tcW w:w="1984"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100份</w:t>
            </w:r>
          </w:p>
        </w:tc>
        <w:tc>
          <w:tcPr>
            <w:tcW w:w="1276"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890"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时效</w:t>
            </w:r>
          </w:p>
        </w:tc>
        <w:tc>
          <w:tcPr>
            <w:tcW w:w="2694" w:type="dxa"/>
            <w:shd w:val="clear" w:color="auto" w:fill="auto"/>
            <w:noWrap/>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项目期限</w:t>
            </w:r>
          </w:p>
        </w:tc>
        <w:tc>
          <w:tcPr>
            <w:tcW w:w="1984"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1年</w:t>
            </w:r>
          </w:p>
        </w:tc>
        <w:tc>
          <w:tcPr>
            <w:tcW w:w="1276"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890"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成本</w:t>
            </w:r>
          </w:p>
        </w:tc>
        <w:tc>
          <w:tcPr>
            <w:tcW w:w="2694" w:type="dxa"/>
            <w:shd w:val="clear" w:color="auto" w:fill="auto"/>
            <w:noWrap/>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资金投入</w:t>
            </w:r>
          </w:p>
        </w:tc>
        <w:tc>
          <w:tcPr>
            <w:tcW w:w="1984"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44.2万元</w:t>
            </w:r>
          </w:p>
        </w:tc>
        <w:tc>
          <w:tcPr>
            <w:tcW w:w="1276"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890"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vMerge w:val="restart"/>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效益指标</w:t>
            </w:r>
          </w:p>
        </w:tc>
        <w:tc>
          <w:tcPr>
            <w:tcW w:w="1134"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经济效益</w:t>
            </w:r>
          </w:p>
        </w:tc>
        <w:tc>
          <w:tcPr>
            <w:tcW w:w="2694"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打造地方优势品牌</w:t>
            </w:r>
          </w:p>
        </w:tc>
        <w:tc>
          <w:tcPr>
            <w:tcW w:w="1984"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根据工作开展情况</w:t>
            </w:r>
          </w:p>
        </w:tc>
        <w:tc>
          <w:tcPr>
            <w:tcW w:w="1276"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890"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社会效益</w:t>
            </w:r>
          </w:p>
        </w:tc>
        <w:tc>
          <w:tcPr>
            <w:tcW w:w="2694"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Style w:val="12"/>
                <w:rFonts w:hint="eastAsia" w:ascii="宋体" w:hAnsi="宋体" w:eastAsia="宋体" w:cs="宋体"/>
                <w:b w:val="0"/>
                <w:bCs w:val="0"/>
                <w:sz w:val="21"/>
                <w:szCs w:val="21"/>
              </w:rPr>
              <w:t>为</w:t>
            </w:r>
            <w:r>
              <w:rPr>
                <w:rStyle w:val="13"/>
                <w:rFonts w:hint="eastAsia" w:ascii="宋体" w:hAnsi="宋体" w:eastAsia="宋体" w:cs="宋体"/>
                <w:b w:val="0"/>
                <w:bCs w:val="0"/>
                <w:sz w:val="21"/>
                <w:szCs w:val="21"/>
              </w:rPr>
              <w:t>新品种</w:t>
            </w:r>
            <w:r>
              <w:rPr>
                <w:rStyle w:val="12"/>
                <w:rFonts w:hint="eastAsia" w:ascii="宋体" w:hAnsi="宋体" w:eastAsia="宋体" w:cs="宋体"/>
                <w:b w:val="0"/>
                <w:bCs w:val="0"/>
                <w:sz w:val="21"/>
                <w:szCs w:val="21"/>
              </w:rPr>
              <w:t>选</w:t>
            </w:r>
            <w:r>
              <w:rPr>
                <w:rStyle w:val="13"/>
                <w:rFonts w:hint="eastAsia" w:ascii="宋体" w:hAnsi="宋体" w:eastAsia="宋体" w:cs="宋体"/>
                <w:b w:val="0"/>
                <w:bCs w:val="0"/>
                <w:sz w:val="21"/>
                <w:szCs w:val="21"/>
              </w:rPr>
              <w:t>育，品种推</w:t>
            </w:r>
            <w:r>
              <w:rPr>
                <w:rStyle w:val="12"/>
                <w:rFonts w:hint="eastAsia" w:ascii="宋体" w:hAnsi="宋体" w:eastAsia="宋体" w:cs="宋体"/>
                <w:b w:val="0"/>
                <w:bCs w:val="0"/>
                <w:sz w:val="21"/>
                <w:szCs w:val="21"/>
              </w:rPr>
              <w:t>广</w:t>
            </w:r>
            <w:r>
              <w:rPr>
                <w:rStyle w:val="13"/>
                <w:rFonts w:hint="eastAsia" w:ascii="宋体" w:hAnsi="宋体" w:eastAsia="宋体" w:cs="宋体"/>
                <w:b w:val="0"/>
                <w:bCs w:val="0"/>
                <w:sz w:val="21"/>
                <w:szCs w:val="21"/>
              </w:rPr>
              <w:t>提供</w:t>
            </w:r>
            <w:r>
              <w:rPr>
                <w:rStyle w:val="12"/>
                <w:rFonts w:hint="eastAsia" w:ascii="宋体" w:hAnsi="宋体" w:eastAsia="宋体" w:cs="宋体"/>
                <w:b w:val="0"/>
                <w:bCs w:val="0"/>
                <w:sz w:val="21"/>
                <w:szCs w:val="21"/>
              </w:rPr>
              <w:t>试验</w:t>
            </w:r>
            <w:r>
              <w:rPr>
                <w:rStyle w:val="13"/>
                <w:rFonts w:hint="eastAsia" w:ascii="宋体" w:hAnsi="宋体" w:eastAsia="宋体" w:cs="宋体"/>
                <w:b w:val="0"/>
                <w:bCs w:val="0"/>
                <w:sz w:val="21"/>
                <w:szCs w:val="21"/>
              </w:rPr>
              <w:t>材料</w:t>
            </w:r>
          </w:p>
        </w:tc>
        <w:tc>
          <w:tcPr>
            <w:tcW w:w="1984"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根据工作开展情况</w:t>
            </w:r>
          </w:p>
        </w:tc>
        <w:tc>
          <w:tcPr>
            <w:tcW w:w="1276"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90"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shd w:val="clear" w:color="auto" w:fill="auto"/>
            <w:noWrap/>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生态效益</w:t>
            </w:r>
          </w:p>
        </w:tc>
        <w:tc>
          <w:tcPr>
            <w:tcW w:w="2694"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保护香禾种质资源，减少施农药化肥，保护土壤环境</w:t>
            </w:r>
          </w:p>
        </w:tc>
        <w:tc>
          <w:tcPr>
            <w:tcW w:w="1984"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根据工作开展情况</w:t>
            </w:r>
          </w:p>
        </w:tc>
        <w:tc>
          <w:tcPr>
            <w:tcW w:w="1276"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890"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可持续影响</w:t>
            </w:r>
          </w:p>
        </w:tc>
        <w:tc>
          <w:tcPr>
            <w:tcW w:w="2694"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保护香禾种质资源</w:t>
            </w:r>
          </w:p>
        </w:tc>
        <w:tc>
          <w:tcPr>
            <w:tcW w:w="1984"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根据工作开展情况</w:t>
            </w:r>
          </w:p>
        </w:tc>
        <w:tc>
          <w:tcPr>
            <w:tcW w:w="1276" w:type="dxa"/>
            <w:shd w:val="clear" w:color="auto" w:fill="auto"/>
            <w:vAlign w:val="center"/>
          </w:tcPr>
          <w:p>
            <w:pPr>
              <w:widowControl/>
              <w:adjustRightInd w:val="0"/>
              <w:snapToGrid w:val="0"/>
              <w:jc w:val="left"/>
              <w:textAlignment w:val="center"/>
              <w:rPr>
                <w:rFonts w:hint="eastAsia" w:ascii="宋体" w:hAnsi="宋体" w:eastAsia="宋体" w:cs="宋体"/>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890" w:type="dxa"/>
            <w:vMerge w:val="continue"/>
            <w:shd w:val="clear" w:color="auto" w:fill="auto"/>
            <w:vAlign w:val="center"/>
          </w:tcPr>
          <w:p>
            <w:pPr>
              <w:adjustRightInd w:val="0"/>
              <w:snapToGrid w:val="0"/>
              <w:jc w:val="center"/>
              <w:rPr>
                <w:rFonts w:hint="eastAsia" w:ascii="宋体" w:hAnsi="宋体" w:eastAsia="宋体" w:cs="宋体"/>
                <w:b w:val="0"/>
                <w:bCs w:val="0"/>
                <w:color w:val="000000"/>
                <w:sz w:val="21"/>
                <w:szCs w:val="21"/>
              </w:rPr>
            </w:pPr>
          </w:p>
        </w:tc>
        <w:tc>
          <w:tcPr>
            <w:tcW w:w="1134" w:type="dxa"/>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满意度指标</w:t>
            </w:r>
          </w:p>
        </w:tc>
        <w:tc>
          <w:tcPr>
            <w:tcW w:w="1134" w:type="dxa"/>
            <w:shd w:val="clear" w:color="auto" w:fill="auto"/>
            <w:vAlign w:val="center"/>
          </w:tcPr>
          <w:p>
            <w:pPr>
              <w:widowControl/>
              <w:adjustRightInd w:val="0"/>
              <w:snapToGrid w:val="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服务对象满意度</w:t>
            </w:r>
          </w:p>
        </w:tc>
        <w:tc>
          <w:tcPr>
            <w:tcW w:w="2694" w:type="dxa"/>
            <w:shd w:val="clear" w:color="auto" w:fill="auto"/>
            <w:noWrap/>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服务对象满意度</w:t>
            </w:r>
          </w:p>
        </w:tc>
        <w:tc>
          <w:tcPr>
            <w:tcW w:w="1984" w:type="dxa"/>
            <w:shd w:val="clear" w:color="auto" w:fill="auto"/>
            <w:noWrap/>
            <w:vAlign w:val="center"/>
          </w:tcPr>
          <w:p>
            <w:pPr>
              <w:widowControl/>
              <w:adjustRightInd w:val="0"/>
              <w:snapToGrid w:val="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≥95%</w:t>
            </w:r>
          </w:p>
        </w:tc>
        <w:tc>
          <w:tcPr>
            <w:tcW w:w="1276" w:type="dxa"/>
            <w:shd w:val="clear" w:color="auto" w:fill="auto"/>
            <w:noWrap/>
            <w:vAlign w:val="center"/>
          </w:tcPr>
          <w:p>
            <w:pPr>
              <w:widowControl/>
              <w:adjustRightInd w:val="0"/>
              <w:snapToGrid w:val="0"/>
              <w:jc w:val="left"/>
              <w:textAlignment w:val="center"/>
              <w:rPr>
                <w:rFonts w:hint="eastAsia" w:ascii="宋体" w:hAnsi="宋体" w:eastAsia="宋体" w:cs="宋体"/>
                <w:b w:val="0"/>
                <w:bCs w:val="0"/>
                <w:color w:val="000000"/>
                <w:kern w:val="0"/>
                <w:sz w:val="21"/>
                <w:szCs w:val="21"/>
              </w:rPr>
            </w:pPr>
          </w:p>
        </w:tc>
      </w:tr>
    </w:tbl>
    <w:p>
      <w:pPr>
        <w:spacing w:line="560" w:lineRule="exact"/>
        <w:ind w:firstLine="664" w:firstLineChars="200"/>
        <w:rPr>
          <w:rFonts w:ascii="黑体" w:hAnsi="黑体" w:eastAsia="黑体"/>
          <w:spacing w:val="6"/>
          <w:szCs w:val="32"/>
        </w:rPr>
      </w:pPr>
      <w:r>
        <w:rPr>
          <w:rFonts w:hint="eastAsia" w:ascii="黑体" w:hAnsi="黑体" w:eastAsia="黑体"/>
          <w:spacing w:val="6"/>
          <w:szCs w:val="32"/>
        </w:rPr>
        <w:t>二、绩效评价组织情况</w:t>
      </w:r>
    </w:p>
    <w:p>
      <w:pPr>
        <w:spacing w:line="560" w:lineRule="exact"/>
        <w:ind w:firstLine="630" w:firstLineChars="190"/>
        <w:rPr>
          <w:rFonts w:ascii="楷体_GB2312" w:eastAsia="楷体_GB2312"/>
          <w:spacing w:val="6"/>
          <w:szCs w:val="32"/>
        </w:rPr>
      </w:pPr>
      <w:r>
        <w:rPr>
          <w:rFonts w:hint="eastAsia" w:ascii="楷体_GB2312" w:eastAsia="楷体_GB2312"/>
          <w:spacing w:val="6"/>
          <w:szCs w:val="32"/>
        </w:rPr>
        <w:t>（一）绩效评价目的</w:t>
      </w:r>
    </w:p>
    <w:p>
      <w:pPr>
        <w:pStyle w:val="2"/>
        <w:ind w:left="640" w:firstLine="640" w:firstLineChars="200"/>
        <w:rPr>
          <w:rFonts w:eastAsia="楷体_GB2312"/>
        </w:rPr>
      </w:pPr>
      <w:r>
        <w:rPr>
          <w:rFonts w:hint="eastAsia" w:eastAsia="楷体_GB2312"/>
        </w:rPr>
        <w:t>通过绩效自评，自查该项目绩效，目标完成情况，存在问题，提出下一步改进措施。</w:t>
      </w:r>
    </w:p>
    <w:p>
      <w:pPr>
        <w:spacing w:line="560" w:lineRule="exact"/>
        <w:ind w:firstLine="630" w:firstLineChars="190"/>
        <w:rPr>
          <w:rFonts w:ascii="楷体_GB2312" w:eastAsia="楷体_GB2312"/>
          <w:spacing w:val="6"/>
          <w:szCs w:val="32"/>
        </w:rPr>
      </w:pPr>
      <w:r>
        <w:rPr>
          <w:rFonts w:hint="eastAsia" w:ascii="楷体_GB2312" w:eastAsia="楷体_GB2312"/>
          <w:spacing w:val="6"/>
          <w:szCs w:val="32"/>
        </w:rPr>
        <w:t>（二）绩效评价依据</w:t>
      </w:r>
    </w:p>
    <w:p>
      <w:pPr>
        <w:spacing w:line="560" w:lineRule="exact"/>
        <w:ind w:firstLine="630" w:firstLineChars="190"/>
        <w:rPr>
          <w:spacing w:val="6"/>
          <w:szCs w:val="32"/>
        </w:rPr>
      </w:pPr>
      <w:r>
        <w:rPr>
          <w:rFonts w:hint="eastAsia"/>
          <w:spacing w:val="6"/>
          <w:szCs w:val="32"/>
        </w:rPr>
        <w:t>1.</w:t>
      </w:r>
      <w:r>
        <w:rPr>
          <w:spacing w:val="6"/>
          <w:szCs w:val="32"/>
        </w:rPr>
        <w:t>《</w:t>
      </w:r>
      <w:r>
        <w:rPr>
          <w:rFonts w:hint="eastAsia"/>
          <w:spacing w:val="6"/>
          <w:szCs w:val="32"/>
        </w:rPr>
        <w:t>中华人民共和国预算法</w:t>
      </w:r>
      <w:r>
        <w:rPr>
          <w:spacing w:val="6"/>
          <w:szCs w:val="32"/>
        </w:rPr>
        <w:t>》</w:t>
      </w:r>
      <w:r>
        <w:rPr>
          <w:rFonts w:hint="eastAsia"/>
          <w:spacing w:val="6"/>
          <w:szCs w:val="32"/>
        </w:rPr>
        <w:t>；</w:t>
      </w:r>
    </w:p>
    <w:p>
      <w:pPr>
        <w:spacing w:line="560" w:lineRule="exact"/>
        <w:ind w:firstLine="630" w:firstLineChars="190"/>
        <w:rPr>
          <w:spacing w:val="6"/>
          <w:szCs w:val="32"/>
        </w:rPr>
      </w:pPr>
      <w:r>
        <w:rPr>
          <w:rFonts w:hint="eastAsia"/>
          <w:spacing w:val="6"/>
          <w:szCs w:val="32"/>
        </w:rPr>
        <w:t>2.财政部、省财政厅、州财政局预算绩效管理各环节管理办法；</w:t>
      </w:r>
    </w:p>
    <w:p>
      <w:pPr>
        <w:spacing w:line="560" w:lineRule="exact"/>
        <w:ind w:firstLine="630" w:firstLineChars="190"/>
        <w:rPr>
          <w:spacing w:val="6"/>
          <w:szCs w:val="32"/>
        </w:rPr>
      </w:pPr>
      <w:r>
        <w:rPr>
          <w:rFonts w:hint="eastAsia"/>
          <w:spacing w:val="6"/>
          <w:szCs w:val="32"/>
        </w:rPr>
        <w:t>3.资金管理办法；</w:t>
      </w:r>
    </w:p>
    <w:p>
      <w:pPr>
        <w:spacing w:line="560" w:lineRule="exact"/>
        <w:ind w:firstLine="630" w:firstLineChars="190"/>
        <w:rPr>
          <w:rFonts w:ascii="楷体_GB2312" w:eastAsia="楷体_GB2312"/>
          <w:spacing w:val="6"/>
          <w:szCs w:val="32"/>
        </w:rPr>
      </w:pPr>
      <w:r>
        <w:rPr>
          <w:rFonts w:hint="eastAsia" w:ascii="楷体_GB2312" w:eastAsia="楷体_GB2312"/>
          <w:spacing w:val="6"/>
          <w:szCs w:val="32"/>
        </w:rPr>
        <w:t>（三）绩效评价工作程序及方法</w:t>
      </w:r>
    </w:p>
    <w:p>
      <w:pPr>
        <w:pStyle w:val="2"/>
        <w:ind w:left="0" w:leftChars="0" w:firstLine="664" w:firstLineChars="200"/>
      </w:pPr>
      <w:r>
        <w:rPr>
          <w:rFonts w:hint="eastAsia"/>
          <w:spacing w:val="6"/>
          <w:szCs w:val="32"/>
        </w:rPr>
        <w:t>以《中华人民共和国预算法</w:t>
      </w:r>
      <w:r>
        <w:rPr>
          <w:spacing w:val="6"/>
          <w:szCs w:val="32"/>
        </w:rPr>
        <w:t>》</w:t>
      </w:r>
      <w:r>
        <w:rPr>
          <w:rFonts w:hint="eastAsia"/>
          <w:spacing w:val="6"/>
          <w:szCs w:val="32"/>
        </w:rPr>
        <w:t>；财政部、省财政厅、州财政局预算绩效管理各环节管理办法、资金管理办法为依据，结合黔东南州农业科研展示基地项目实施情况逐项评价，填写绩效自评表。</w:t>
      </w:r>
    </w:p>
    <w:p>
      <w:pPr>
        <w:spacing w:line="560" w:lineRule="exact"/>
        <w:ind w:firstLine="630" w:firstLineChars="190"/>
        <w:rPr>
          <w:rFonts w:ascii="楷体_GB2312" w:eastAsia="楷体_GB2312"/>
          <w:spacing w:val="6"/>
          <w:szCs w:val="32"/>
        </w:rPr>
      </w:pPr>
      <w:r>
        <w:rPr>
          <w:rFonts w:hint="eastAsia" w:ascii="楷体_GB2312" w:eastAsia="楷体_GB2312"/>
          <w:spacing w:val="6"/>
          <w:szCs w:val="32"/>
        </w:rPr>
        <w:t>（四）绩效评价指标体系及标准</w:t>
      </w:r>
    </w:p>
    <w:p>
      <w:pPr>
        <w:spacing w:line="560" w:lineRule="exact"/>
        <w:ind w:firstLine="664" w:firstLineChars="200"/>
        <w:rPr>
          <w:rFonts w:hAnsi="仿宋_GB2312" w:cs="仿宋_GB2312"/>
          <w:spacing w:val="6"/>
          <w:szCs w:val="32"/>
        </w:rPr>
      </w:pPr>
      <w:r>
        <w:rPr>
          <w:rFonts w:hint="eastAsia" w:hAnsi="仿宋_GB2312" w:cs="仿宋_GB2312"/>
          <w:spacing w:val="6"/>
          <w:szCs w:val="32"/>
        </w:rPr>
        <w:t>说明设计思路并附表说明（附表以附件1体现）。</w:t>
      </w:r>
    </w:p>
    <w:p>
      <w:pPr>
        <w:numPr>
          <w:ilvl w:val="0"/>
          <w:numId w:val="2"/>
        </w:numPr>
        <w:spacing w:line="560" w:lineRule="exact"/>
        <w:ind w:firstLine="630" w:firstLineChars="190"/>
        <w:rPr>
          <w:rFonts w:ascii="楷体_GB2312" w:eastAsia="楷体_GB2312"/>
          <w:spacing w:val="6"/>
          <w:szCs w:val="32"/>
        </w:rPr>
      </w:pPr>
      <w:bookmarkStart w:id="0" w:name="_GoBack"/>
      <w:bookmarkEnd w:id="0"/>
      <w:r>
        <w:rPr>
          <w:rFonts w:hint="eastAsia" w:ascii="楷体_GB2312" w:eastAsia="楷体_GB2312"/>
          <w:spacing w:val="6"/>
          <w:szCs w:val="32"/>
        </w:rPr>
        <w:t>绩效评价抽样情况</w:t>
      </w:r>
    </w:p>
    <w:p>
      <w:pPr>
        <w:pStyle w:val="2"/>
        <w:ind w:left="0" w:leftChars="0" w:firstLine="640" w:firstLineChars="200"/>
      </w:pPr>
      <w:r>
        <w:rPr>
          <w:rFonts w:hint="eastAsia"/>
        </w:rPr>
        <w:t>无</w:t>
      </w:r>
    </w:p>
    <w:p>
      <w:pPr>
        <w:spacing w:line="560" w:lineRule="exact"/>
        <w:ind w:firstLine="608" w:firstLineChars="190"/>
        <w:rPr>
          <w:rFonts w:ascii="黑体" w:hAnsi="黑体" w:eastAsia="黑体"/>
          <w:szCs w:val="32"/>
        </w:rPr>
      </w:pPr>
      <w:r>
        <w:rPr>
          <w:rFonts w:hint="eastAsia" w:ascii="黑体" w:hAnsi="黑体" w:eastAsia="黑体"/>
          <w:szCs w:val="32"/>
        </w:rPr>
        <w:t>三、绩效评价综合情况及结论</w:t>
      </w:r>
    </w:p>
    <w:p>
      <w:pPr>
        <w:spacing w:line="560" w:lineRule="exact"/>
        <w:ind w:firstLine="630" w:firstLineChars="190"/>
        <w:rPr>
          <w:rFonts w:ascii="楷体_GB2312" w:eastAsia="楷体_GB2312"/>
          <w:spacing w:val="6"/>
          <w:szCs w:val="32"/>
        </w:rPr>
      </w:pPr>
      <w:r>
        <w:rPr>
          <w:rFonts w:hint="eastAsia" w:ascii="楷体_GB2312" w:eastAsia="楷体_GB2312"/>
          <w:spacing w:val="6"/>
          <w:szCs w:val="32"/>
        </w:rPr>
        <w:t>（一）绩效评价综合结论</w:t>
      </w:r>
    </w:p>
    <w:p>
      <w:pPr>
        <w:spacing w:line="560" w:lineRule="exact"/>
        <w:ind w:firstLine="608" w:firstLineChars="190"/>
        <w:rPr>
          <w:spacing w:val="6"/>
          <w:szCs w:val="32"/>
        </w:rPr>
      </w:pPr>
      <w:r>
        <w:rPr>
          <w:rFonts w:hint="eastAsia" w:ascii="仿宋" w:hAnsi="仿宋" w:eastAsia="仿宋" w:cs="仿宋"/>
          <w:sz w:val="32"/>
          <w:szCs w:val="32"/>
        </w:rPr>
        <w:t>贵州省香禾种质资源圃项目</w:t>
      </w:r>
      <w:r>
        <w:rPr>
          <w:rFonts w:hint="eastAsia" w:ascii="仿宋" w:hAnsi="仿宋" w:eastAsia="仿宋" w:cs="仿宋"/>
          <w:spacing w:val="6"/>
          <w:sz w:val="32"/>
          <w:szCs w:val="32"/>
        </w:rPr>
        <w:t>资金使用符合财政</w:t>
      </w:r>
      <w:r>
        <w:rPr>
          <w:rFonts w:hint="eastAsia"/>
          <w:spacing w:val="6"/>
          <w:szCs w:val="32"/>
        </w:rPr>
        <w:t>制度，各项指标均已完成，自评得分</w:t>
      </w:r>
      <w:r>
        <w:rPr>
          <w:rFonts w:hint="eastAsia"/>
          <w:spacing w:val="6"/>
          <w:szCs w:val="32"/>
          <w:lang w:val="en-US" w:eastAsia="zh-CN"/>
        </w:rPr>
        <w:t>88.8</w:t>
      </w:r>
      <w:r>
        <w:rPr>
          <w:rFonts w:hint="eastAsia"/>
          <w:spacing w:val="6"/>
          <w:szCs w:val="32"/>
        </w:rPr>
        <w:t>分。</w:t>
      </w:r>
    </w:p>
    <w:p>
      <w:pPr>
        <w:spacing w:line="560" w:lineRule="exact"/>
        <w:ind w:firstLine="630" w:firstLineChars="190"/>
        <w:rPr>
          <w:rFonts w:ascii="楷体_GB2312" w:eastAsia="楷体_GB2312"/>
          <w:spacing w:val="6"/>
          <w:szCs w:val="32"/>
        </w:rPr>
      </w:pPr>
      <w:r>
        <w:rPr>
          <w:rFonts w:hint="eastAsia" w:ascii="楷体_GB2312" w:eastAsia="楷体_GB2312"/>
          <w:spacing w:val="6"/>
          <w:szCs w:val="32"/>
        </w:rPr>
        <w:t>（二）绩效目标实现情况</w:t>
      </w:r>
    </w:p>
    <w:p>
      <w:pPr>
        <w:spacing w:line="560" w:lineRule="exact"/>
        <w:ind w:firstLine="640" w:firstLineChars="200"/>
        <w:rPr>
          <w:rFonts w:hint="eastAsia"/>
          <w:spacing w:val="6"/>
          <w:szCs w:val="32"/>
        </w:rPr>
      </w:pPr>
      <w:r>
        <w:rPr>
          <w:rFonts w:hint="eastAsia" w:ascii="仿宋" w:hAnsi="仿宋" w:eastAsia="仿宋" w:cs="仿宋"/>
          <w:sz w:val="32"/>
          <w:szCs w:val="32"/>
        </w:rPr>
        <w:t>贵州省香禾种质资源圃</w:t>
      </w:r>
      <w:r>
        <w:rPr>
          <w:rFonts w:hint="eastAsia" w:ascii="仿宋" w:hAnsi="仿宋" w:eastAsia="仿宋" w:cs="仿宋"/>
          <w:spacing w:val="6"/>
          <w:sz w:val="32"/>
          <w:szCs w:val="32"/>
        </w:rPr>
        <w:t>项目绩</w:t>
      </w:r>
      <w:r>
        <w:rPr>
          <w:rFonts w:hint="eastAsia"/>
          <w:spacing w:val="6"/>
          <w:szCs w:val="32"/>
        </w:rPr>
        <w:t>效目标及指标完成情况表：</w:t>
      </w:r>
    </w:p>
    <w:tbl>
      <w:tblPr>
        <w:tblStyle w:val="9"/>
        <w:tblW w:w="10835" w:type="dxa"/>
        <w:tblInd w:w="-3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
        <w:gridCol w:w="588"/>
        <w:gridCol w:w="348"/>
        <w:gridCol w:w="1042"/>
        <w:gridCol w:w="972"/>
        <w:gridCol w:w="228"/>
        <w:gridCol w:w="762"/>
        <w:gridCol w:w="1177"/>
        <w:gridCol w:w="155"/>
        <w:gridCol w:w="865"/>
        <w:gridCol w:w="543"/>
        <w:gridCol w:w="477"/>
        <w:gridCol w:w="215"/>
        <w:gridCol w:w="845"/>
        <w:gridCol w:w="133"/>
        <w:gridCol w:w="768"/>
        <w:gridCol w:w="1017"/>
        <w:gridCol w:w="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540" w:hRule="atLeast"/>
        </w:trPr>
        <w:tc>
          <w:tcPr>
            <w:tcW w:w="97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                    （万元）</w:t>
            </w:r>
          </w:p>
        </w:tc>
        <w:tc>
          <w:tcPr>
            <w:tcW w:w="236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 金 来 源</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全年预算数（A）</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全年执行数（B）</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270" w:hRule="atLeast"/>
        </w:trPr>
        <w:tc>
          <w:tcPr>
            <w:tcW w:w="9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6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31.32</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270" w:hRule="atLeast"/>
        </w:trPr>
        <w:tc>
          <w:tcPr>
            <w:tcW w:w="9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6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31.32</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270" w:hRule="atLeast"/>
        </w:trPr>
        <w:tc>
          <w:tcPr>
            <w:tcW w:w="9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6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------本级安排：</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740" w:hRule="atLeast"/>
        </w:trPr>
        <w:tc>
          <w:tcPr>
            <w:tcW w:w="9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------其中：上级补助：</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270" w:hRule="atLeast"/>
        </w:trPr>
        <w:tc>
          <w:tcPr>
            <w:tcW w:w="9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6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280" w:hRule="atLeast"/>
          <w:jc w:val="center"/>
        </w:trPr>
        <w:tc>
          <w:tcPr>
            <w:tcW w:w="13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20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9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280" w:hRule="atLeast"/>
          <w:jc w:val="center"/>
        </w:trPr>
        <w:tc>
          <w:tcPr>
            <w:tcW w:w="1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520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建立10亩香禾种质资源圃，收集400份以上香禾资源进行繁殖和保存；建立5亩的香禾提纯复壮工作，完成繁殖和保存，保证种子纯度；建立5亩香禾种质资源创新利用，繁殖加代材料200份以上。</w:t>
            </w:r>
          </w:p>
        </w:tc>
        <w:tc>
          <w:tcPr>
            <w:tcW w:w="399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建立10亩香禾种质资源圃，收集431份以上香禾资源进行繁殖和保存，资源评价200份；建立5亩的香禾提纯复壮工作，完成繁殖和保存，保证种子纯度；建立5亩香禾种质资源创新利用，繁殖加代材料207份以上。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280" w:hRule="atLeast"/>
          <w:jc w:val="center"/>
        </w:trPr>
        <w:tc>
          <w:tcPr>
            <w:tcW w:w="1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52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399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280" w:hRule="atLeast"/>
          <w:jc w:val="center"/>
        </w:trPr>
        <w:tc>
          <w:tcPr>
            <w:tcW w:w="1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52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399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140" w:hRule="atLeast"/>
          <w:jc w:val="center"/>
        </w:trPr>
        <w:tc>
          <w:tcPr>
            <w:tcW w:w="1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52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399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560" w:hRule="atLeast"/>
          <w:jc w:val="center"/>
        </w:trPr>
        <w:tc>
          <w:tcPr>
            <w:tcW w:w="13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年度指标值（A）</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实际完成值（B）</w:t>
            </w:r>
          </w:p>
        </w:tc>
        <w:tc>
          <w:tcPr>
            <w:tcW w:w="10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90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480" w:hRule="atLeast"/>
          <w:jc w:val="center"/>
        </w:trPr>
        <w:tc>
          <w:tcPr>
            <w:tcW w:w="1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10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产出指标（50分）</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繁殖香禾种质资源</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400份</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106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480" w:hRule="atLeast"/>
          <w:jc w:val="center"/>
        </w:trPr>
        <w:tc>
          <w:tcPr>
            <w:tcW w:w="1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繁殖香禾加代材料资源</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200份</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06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480" w:hRule="atLeast"/>
          <w:jc w:val="center"/>
        </w:trPr>
        <w:tc>
          <w:tcPr>
            <w:tcW w:w="1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完成资源鉴定、评价和保存</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440" w:hRule="atLeast"/>
          <w:jc w:val="center"/>
        </w:trPr>
        <w:tc>
          <w:tcPr>
            <w:tcW w:w="1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项目期限</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9" w:type="dxa"/>
          <w:trHeight w:val="540" w:hRule="atLeast"/>
          <w:jc w:val="center"/>
        </w:trPr>
        <w:tc>
          <w:tcPr>
            <w:tcW w:w="1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44.2万元</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31.32万元</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7.9</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2023年续实施项目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1" w:type="dxa"/>
          <w:trHeight w:val="280" w:hRule="atLeast"/>
          <w:jc w:val="center"/>
        </w:trPr>
        <w:tc>
          <w:tcPr>
            <w:tcW w:w="936" w:type="dxa"/>
            <w:gridSpan w:val="2"/>
            <w:vMerge w:val="restart"/>
            <w:tcBorders>
              <w:top w:val="single" w:color="000000" w:sz="4" w:space="0"/>
              <w:left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10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效益指标（30分）</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打造地方优势品牌</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部分达成预期指标并具有一定效果</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定性指标无法量化考核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1" w:type="dxa"/>
          <w:trHeight w:val="480"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17"/>
                <w:lang w:val="en-US" w:eastAsia="zh-CN" w:bidi="ar"/>
              </w:rPr>
              <w:t>为</w:t>
            </w:r>
            <w:r>
              <w:rPr>
                <w:rFonts w:hint="default" w:ascii="仿宋_GB2312" w:hAnsi="宋体" w:eastAsia="仿宋_GB2312" w:cs="仿宋_GB2312"/>
                <w:i w:val="0"/>
                <w:iCs w:val="0"/>
                <w:color w:val="000000"/>
                <w:kern w:val="0"/>
                <w:sz w:val="18"/>
                <w:szCs w:val="18"/>
                <w:u w:val="none"/>
                <w:lang w:val="en-US" w:eastAsia="zh-CN" w:bidi="ar"/>
              </w:rPr>
              <w:t>新品种</w:t>
            </w:r>
            <w:r>
              <w:rPr>
                <w:rStyle w:val="17"/>
                <w:lang w:val="en-US" w:eastAsia="zh-CN" w:bidi="ar"/>
              </w:rPr>
              <w:t>选</w:t>
            </w:r>
            <w:r>
              <w:rPr>
                <w:rFonts w:hint="default" w:ascii="仿宋_GB2312" w:hAnsi="宋体" w:eastAsia="仿宋_GB2312" w:cs="仿宋_GB2312"/>
                <w:i w:val="0"/>
                <w:iCs w:val="0"/>
                <w:color w:val="000000"/>
                <w:kern w:val="0"/>
                <w:sz w:val="18"/>
                <w:szCs w:val="18"/>
                <w:u w:val="none"/>
                <w:lang w:val="en-US" w:eastAsia="zh-CN" w:bidi="ar"/>
              </w:rPr>
              <w:t>育，品种推</w:t>
            </w:r>
            <w:r>
              <w:rPr>
                <w:rStyle w:val="17"/>
                <w:lang w:val="en-US" w:eastAsia="zh-CN" w:bidi="ar"/>
              </w:rPr>
              <w:t>广</w:t>
            </w:r>
            <w:r>
              <w:rPr>
                <w:rFonts w:hint="default" w:ascii="仿宋_GB2312" w:hAnsi="宋体" w:eastAsia="仿宋_GB2312" w:cs="仿宋_GB2312"/>
                <w:i w:val="0"/>
                <w:iCs w:val="0"/>
                <w:color w:val="000000"/>
                <w:kern w:val="0"/>
                <w:sz w:val="18"/>
                <w:szCs w:val="18"/>
                <w:u w:val="none"/>
                <w:lang w:val="en-US" w:eastAsia="zh-CN" w:bidi="ar"/>
              </w:rPr>
              <w:t>提供</w:t>
            </w:r>
            <w:r>
              <w:rPr>
                <w:rStyle w:val="17"/>
                <w:lang w:val="en-US" w:eastAsia="zh-CN" w:bidi="ar"/>
              </w:rPr>
              <w:t>试验</w:t>
            </w:r>
            <w:r>
              <w:rPr>
                <w:rFonts w:hint="default" w:ascii="仿宋_GB2312" w:hAnsi="宋体" w:eastAsia="仿宋_GB2312" w:cs="仿宋_GB2312"/>
                <w:i w:val="0"/>
                <w:iCs w:val="0"/>
                <w:color w:val="000000"/>
                <w:kern w:val="0"/>
                <w:sz w:val="18"/>
                <w:szCs w:val="18"/>
                <w:u w:val="none"/>
                <w:lang w:val="en-US" w:eastAsia="zh-CN" w:bidi="ar"/>
              </w:rPr>
              <w:t>材料</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部分达成预期指标并具有一定效果</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定性指标无法量化考核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1" w:type="dxa"/>
          <w:trHeight w:val="720"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保护香禾种质资源，减少施农药化肥，保护土壤环境</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部分达成预期指标并具有一定效果</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定性指标无法量化考核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1" w:type="dxa"/>
          <w:trHeight w:val="280"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保护香禾种质资源</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部分达成预期指标并具有一定效果</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定性指标无法量化考核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1" w:type="dxa"/>
          <w:trHeight w:val="440"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12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332"/>
              </w:tabs>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ab/>
            </w:r>
            <w:r>
              <w:rPr>
                <w:rFonts w:hint="eastAsia" w:ascii="宋体" w:hAnsi="宋体" w:eastAsia="宋体" w:cs="宋体"/>
                <w:i w:val="0"/>
                <w:iCs w:val="0"/>
                <w:color w:val="000000"/>
                <w:sz w:val="18"/>
                <w:szCs w:val="18"/>
                <w:u w:val="none"/>
                <w:lang w:val="en-US" w:eastAsia="zh-CN"/>
              </w:rPr>
              <w:t>90%</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推广力度有待加强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1" w:type="dxa"/>
          <w:trHeight w:val="280" w:hRule="atLeast"/>
          <w:jc w:val="center"/>
        </w:trPr>
        <w:tc>
          <w:tcPr>
            <w:tcW w:w="715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88.8</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bl>
    <w:p>
      <w:pPr>
        <w:spacing w:line="560" w:lineRule="exact"/>
        <w:ind w:firstLine="768" w:firstLineChars="240"/>
        <w:rPr>
          <w:rFonts w:ascii="黑体" w:hAnsi="黑体" w:eastAsia="黑体"/>
          <w:szCs w:val="32"/>
        </w:rPr>
      </w:pPr>
      <w:r>
        <w:rPr>
          <w:rFonts w:hint="eastAsia" w:ascii="黑体" w:hAnsi="黑体" w:eastAsia="黑体"/>
          <w:szCs w:val="32"/>
        </w:rPr>
        <w:t>四、绩效评价情况分析</w:t>
      </w:r>
    </w:p>
    <w:p>
      <w:pPr>
        <w:spacing w:line="560" w:lineRule="exact"/>
        <w:ind w:firstLine="1128" w:firstLineChars="340"/>
        <w:rPr>
          <w:rFonts w:hint="eastAsia" w:ascii="楷体_GB2312" w:eastAsia="楷体_GB2312"/>
          <w:spacing w:val="6"/>
          <w:szCs w:val="32"/>
        </w:rPr>
      </w:pPr>
      <w:r>
        <w:rPr>
          <w:rFonts w:hint="eastAsia" w:ascii="楷体_GB2312" w:eastAsia="楷体_GB2312"/>
          <w:spacing w:val="6"/>
          <w:szCs w:val="32"/>
        </w:rPr>
        <w:t>（一）决策情况分析</w:t>
      </w:r>
    </w:p>
    <w:p>
      <w:pPr>
        <w:spacing w:line="560" w:lineRule="exact"/>
        <w:ind w:firstLine="1460" w:firstLineChars="440"/>
        <w:rPr>
          <w:rFonts w:hint="eastAsia" w:ascii="楷体_GB2312" w:eastAsia="楷体_GB2312"/>
          <w:spacing w:val="6"/>
          <w:szCs w:val="32"/>
          <w:lang w:eastAsia="zh-CN"/>
        </w:rPr>
      </w:pPr>
      <w:r>
        <w:rPr>
          <w:rFonts w:hint="eastAsia" w:ascii="楷体_GB2312" w:eastAsia="楷体_GB2312"/>
          <w:spacing w:val="6"/>
          <w:szCs w:val="32"/>
          <w:lang w:val="en-US" w:eastAsia="zh-CN"/>
        </w:rPr>
        <w:t>无</w:t>
      </w:r>
    </w:p>
    <w:p>
      <w:pPr>
        <w:spacing w:line="560" w:lineRule="exact"/>
        <w:ind w:firstLine="1128" w:firstLineChars="340"/>
        <w:rPr>
          <w:rFonts w:hint="eastAsia"/>
        </w:rPr>
      </w:pPr>
      <w:r>
        <w:rPr>
          <w:rFonts w:hint="eastAsia" w:ascii="楷体_GB2312" w:eastAsia="楷体_GB2312"/>
          <w:spacing w:val="6"/>
          <w:szCs w:val="32"/>
          <w:lang w:val="en-US" w:eastAsia="zh-CN"/>
        </w:rPr>
        <w:t>（二</w:t>
      </w:r>
      <w:r>
        <w:rPr>
          <w:rFonts w:hint="eastAsia" w:ascii="楷体_GB2312" w:eastAsia="楷体_GB2312"/>
          <w:spacing w:val="6"/>
          <w:szCs w:val="32"/>
          <w:lang w:eastAsia="zh-CN"/>
        </w:rPr>
        <w:t>）</w:t>
      </w:r>
      <w:r>
        <w:rPr>
          <w:rFonts w:hint="eastAsia" w:ascii="楷体_GB2312" w:eastAsia="楷体_GB2312"/>
          <w:spacing w:val="6"/>
          <w:szCs w:val="32"/>
        </w:rPr>
        <w:t>过程情况分析</w:t>
      </w:r>
    </w:p>
    <w:p>
      <w:pPr>
        <w:spacing w:line="560" w:lineRule="exact"/>
        <w:ind w:firstLine="1460" w:firstLineChars="440"/>
        <w:rPr>
          <w:rFonts w:hint="eastAsia" w:ascii="楷体_GB2312" w:eastAsia="楷体_GB2312"/>
          <w:spacing w:val="6"/>
          <w:szCs w:val="32"/>
          <w:lang w:val="en-US" w:eastAsia="zh-CN"/>
        </w:rPr>
      </w:pPr>
      <w:r>
        <w:rPr>
          <w:rFonts w:hint="eastAsia" w:ascii="楷体_GB2312" w:eastAsia="楷体_GB2312"/>
          <w:spacing w:val="6"/>
          <w:szCs w:val="32"/>
          <w:lang w:val="en-US" w:eastAsia="zh-CN"/>
        </w:rPr>
        <w:t>无</w:t>
      </w:r>
    </w:p>
    <w:p>
      <w:pPr>
        <w:spacing w:line="560" w:lineRule="exact"/>
        <w:ind w:firstLine="1328" w:firstLineChars="400"/>
        <w:rPr>
          <w:rFonts w:ascii="楷体_GB2312" w:eastAsia="楷体_GB2312"/>
          <w:spacing w:val="6"/>
          <w:szCs w:val="32"/>
        </w:rPr>
      </w:pPr>
      <w:r>
        <w:rPr>
          <w:rFonts w:hint="eastAsia" w:ascii="楷体_GB2312" w:eastAsia="楷体_GB2312"/>
          <w:spacing w:val="6"/>
          <w:szCs w:val="32"/>
        </w:rPr>
        <w:t>（三）产出情况分析</w:t>
      </w:r>
    </w:p>
    <w:p>
      <w:pPr>
        <w:spacing w:line="560" w:lineRule="exact"/>
        <w:ind w:left="768" w:leftChars="240" w:firstLine="640" w:firstLineChars="200"/>
        <w:rPr>
          <w:rFonts w:ascii="仿宋" w:hAnsi="仿宋" w:eastAsia="仿宋" w:cs="仿宋"/>
          <w:spacing w:val="6"/>
          <w:szCs w:val="32"/>
        </w:rPr>
      </w:pPr>
      <w:r>
        <w:rPr>
          <w:rFonts w:hint="eastAsia"/>
        </w:rPr>
        <w:t>对照项目的目标任务，目前本项目已完成目标绩效任务。</w:t>
      </w:r>
    </w:p>
    <w:p>
      <w:pPr>
        <w:spacing w:line="560" w:lineRule="exact"/>
        <w:ind w:left="640" w:leftChars="200" w:firstLine="664" w:firstLineChars="200"/>
        <w:rPr>
          <w:rFonts w:ascii="楷体_GB2312" w:eastAsia="楷体_GB2312"/>
          <w:spacing w:val="6"/>
          <w:szCs w:val="32"/>
        </w:rPr>
      </w:pPr>
      <w:r>
        <w:rPr>
          <w:rFonts w:hint="eastAsia" w:ascii="楷体_GB2312" w:eastAsia="楷体_GB2312"/>
          <w:spacing w:val="6"/>
          <w:szCs w:val="32"/>
        </w:rPr>
        <w:t>（四）效益情况分析</w:t>
      </w:r>
    </w:p>
    <w:p>
      <w:pPr>
        <w:pStyle w:val="2"/>
        <w:ind w:firstLine="1280" w:firstLineChars="400"/>
      </w:pPr>
      <w:r>
        <w:rPr>
          <w:rFonts w:hint="eastAsia"/>
        </w:rPr>
        <w:t>无</w:t>
      </w:r>
    </w:p>
    <w:p>
      <w:pPr>
        <w:spacing w:line="560" w:lineRule="exact"/>
        <w:ind w:firstLine="768" w:firstLineChars="240"/>
        <w:rPr>
          <w:rFonts w:ascii="黑体" w:hAnsi="黑体" w:eastAsia="黑体"/>
          <w:szCs w:val="32"/>
        </w:rPr>
      </w:pPr>
      <w:r>
        <w:rPr>
          <w:rFonts w:hint="eastAsia" w:ascii="黑体" w:hAnsi="黑体" w:eastAsia="黑体"/>
          <w:szCs w:val="32"/>
        </w:rPr>
        <w:t>五、主要经验及做法</w:t>
      </w:r>
    </w:p>
    <w:p>
      <w:pPr>
        <w:spacing w:line="560" w:lineRule="exact"/>
        <w:ind w:firstLine="640" w:firstLineChars="200"/>
        <w:rPr>
          <w:rFonts w:hAnsi="黑体"/>
          <w:szCs w:val="32"/>
        </w:rPr>
      </w:pPr>
      <w:r>
        <w:rPr>
          <w:rFonts w:hint="eastAsia" w:hAnsi="黑体"/>
          <w:szCs w:val="32"/>
        </w:rPr>
        <w:t>无</w:t>
      </w:r>
    </w:p>
    <w:p>
      <w:pPr>
        <w:numPr>
          <w:ilvl w:val="0"/>
          <w:numId w:val="3"/>
        </w:numPr>
        <w:spacing w:line="560" w:lineRule="exact"/>
        <w:ind w:firstLine="768" w:firstLineChars="240"/>
        <w:rPr>
          <w:rFonts w:ascii="黑体" w:hAnsi="黑体" w:eastAsia="黑体"/>
          <w:szCs w:val="32"/>
        </w:rPr>
      </w:pPr>
      <w:r>
        <w:rPr>
          <w:rFonts w:hint="eastAsia" w:ascii="黑体" w:hAnsi="黑体" w:eastAsia="黑体"/>
          <w:szCs w:val="32"/>
        </w:rPr>
        <w:t>存在问题及原因分析</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1、项目下达时间较晚，没有按年度完成项目任务指标。只有推迟1年时间来完成；</w:t>
      </w:r>
    </w:p>
    <w:p>
      <w:pPr>
        <w:ind w:firstLine="640" w:firstLineChars="200"/>
        <w:rPr>
          <w:rFonts w:ascii="仿宋_GB2312" w:eastAsia="仿宋_GB2312"/>
          <w:sz w:val="32"/>
          <w:szCs w:val="32"/>
        </w:rPr>
      </w:pPr>
      <w:r>
        <w:rPr>
          <w:rFonts w:hint="eastAsia" w:ascii="仿宋_GB2312" w:eastAsia="仿宋_GB2312"/>
          <w:sz w:val="32"/>
          <w:szCs w:val="32"/>
        </w:rPr>
        <w:t>2、项目实施材料收集主要在黔东南州黎平县、从江县和榕江县，交通较远收集需要时间；</w:t>
      </w:r>
    </w:p>
    <w:p>
      <w:pPr>
        <w:pStyle w:val="2"/>
        <w:rPr>
          <w:rFonts w:ascii="仿宋_GB2312" w:eastAsia="仿宋_GB2312"/>
          <w:sz w:val="32"/>
          <w:szCs w:val="32"/>
        </w:rPr>
      </w:pPr>
      <w:r>
        <w:rPr>
          <w:rFonts w:hint="eastAsia" w:ascii="仿宋_GB2312" w:eastAsia="仿宋_GB2312"/>
          <w:sz w:val="32"/>
          <w:szCs w:val="32"/>
        </w:rPr>
        <w:t>3、本项目涉及的是水稻作物，只有在适应的季节才能种植观察、收获，持续时间长。</w:t>
      </w:r>
    </w:p>
    <w:p>
      <w:pPr>
        <w:spacing w:line="560" w:lineRule="exact"/>
        <w:ind w:firstLine="630"/>
        <w:rPr>
          <w:rFonts w:ascii="黑体" w:hAnsi="黑体" w:eastAsia="黑体"/>
          <w:szCs w:val="32"/>
        </w:rPr>
      </w:pPr>
      <w:r>
        <w:rPr>
          <w:rFonts w:hint="eastAsia" w:ascii="黑体" w:hAnsi="黑体" w:eastAsia="黑体"/>
          <w:szCs w:val="32"/>
        </w:rPr>
        <w:t>七、针对问题提出的建议</w:t>
      </w:r>
    </w:p>
    <w:p>
      <w:pPr>
        <w:pStyle w:val="18"/>
        <w:adjustRightInd w:val="0"/>
        <w:snapToGrid w:val="0"/>
        <w:spacing w:line="560" w:lineRule="exact"/>
        <w:ind w:firstLine="640" w:firstLineChars="200"/>
        <w:rPr>
          <w:rFonts w:ascii="仿宋_GB2312" w:eastAsia="仿宋_GB2312" w:cs="宋体" w:hAnsiTheme="majorEastAsia"/>
          <w:sz w:val="32"/>
          <w:szCs w:val="32"/>
        </w:rPr>
      </w:pPr>
      <w:r>
        <w:rPr>
          <w:rFonts w:hint="eastAsia" w:ascii="仿宋_GB2312" w:eastAsia="仿宋_GB2312" w:hAnsiTheme="majorEastAsia"/>
          <w:bCs/>
          <w:sz w:val="32"/>
          <w:szCs w:val="32"/>
        </w:rPr>
        <w:t>1、加强组织领导。成立工作领导小组，</w:t>
      </w:r>
      <w:r>
        <w:rPr>
          <w:rFonts w:hint="eastAsia" w:ascii="仿宋_GB2312" w:eastAsia="仿宋_GB2312" w:cs="宋体" w:hAnsiTheme="majorEastAsia"/>
          <w:sz w:val="32"/>
          <w:szCs w:val="32"/>
        </w:rPr>
        <w:t>负责统筹协调项目实施，编制实施方案，决定资金预算与使用，负责检查、督促、指导和验收。</w:t>
      </w:r>
    </w:p>
    <w:p>
      <w:pPr>
        <w:pStyle w:val="18"/>
        <w:topLinePunct/>
        <w:adjustRightInd w:val="0"/>
        <w:snapToGrid w:val="0"/>
        <w:spacing w:line="560" w:lineRule="exact"/>
        <w:ind w:firstLine="640" w:firstLineChars="200"/>
        <w:rPr>
          <w:rFonts w:ascii="仿宋_GB2312" w:eastAsia="仿宋_GB2312" w:cs="仿宋_GB2312" w:hAnsiTheme="majorEastAsia"/>
          <w:sz w:val="32"/>
          <w:szCs w:val="32"/>
        </w:rPr>
      </w:pPr>
      <w:r>
        <w:rPr>
          <w:rFonts w:hint="eastAsia" w:ascii="仿宋_GB2312" w:eastAsia="仿宋_GB2312" w:hAnsiTheme="majorEastAsia"/>
          <w:bCs/>
          <w:sz w:val="32"/>
          <w:szCs w:val="32"/>
        </w:rPr>
        <w:t>2</w:t>
      </w:r>
      <w:r>
        <w:rPr>
          <w:rFonts w:hint="eastAsia" w:ascii="仿宋_GB2312" w:eastAsia="仿宋_GB2312" w:hAnsiTheme="majorEastAsia"/>
          <w:sz w:val="32"/>
          <w:szCs w:val="32"/>
        </w:rPr>
        <w:t>、</w:t>
      </w:r>
      <w:r>
        <w:rPr>
          <w:rFonts w:hint="eastAsia" w:ascii="仿宋_GB2312" w:eastAsia="仿宋_GB2312" w:cs="楷体_GB2312" w:hAnsiTheme="majorEastAsia"/>
          <w:sz w:val="32"/>
          <w:szCs w:val="32"/>
        </w:rPr>
        <w:t>加强项目督促检查。</w:t>
      </w:r>
      <w:r>
        <w:rPr>
          <w:rFonts w:hint="eastAsia" w:ascii="仿宋_GB2312" w:eastAsia="仿宋_GB2312" w:cs="仿宋_GB2312" w:hAnsiTheme="majorEastAsia"/>
          <w:bCs/>
          <w:sz w:val="32"/>
          <w:szCs w:val="32"/>
        </w:rPr>
        <w:t>加强目标管理和过程管理，对执行进度和完成情况进行督促检查，确保项目扎实推进</w:t>
      </w:r>
      <w:r>
        <w:rPr>
          <w:rFonts w:hint="eastAsia" w:ascii="仿宋_GB2312" w:eastAsia="仿宋_GB2312" w:cs="仿宋_GB2312" w:hAnsiTheme="majorEastAsia"/>
          <w:sz w:val="32"/>
          <w:szCs w:val="32"/>
        </w:rPr>
        <w:t>。</w:t>
      </w:r>
      <w:r>
        <w:rPr>
          <w:rFonts w:hint="eastAsia" w:ascii="仿宋_GB2312" w:eastAsia="仿宋_GB2312" w:hAnsiTheme="majorEastAsia"/>
          <w:bCs/>
          <w:sz w:val="32"/>
          <w:szCs w:val="32"/>
        </w:rPr>
        <w:t>工作领导小组将</w:t>
      </w:r>
      <w:r>
        <w:rPr>
          <w:rFonts w:hint="eastAsia" w:ascii="仿宋_GB2312" w:eastAsia="仿宋_GB2312" w:cs="仿宋_GB2312" w:hAnsiTheme="majorEastAsia"/>
          <w:bCs/>
          <w:sz w:val="32"/>
          <w:szCs w:val="32"/>
        </w:rPr>
        <w:t>根据项目要求适时进行</w:t>
      </w:r>
      <w:r>
        <w:rPr>
          <w:rFonts w:hint="eastAsia" w:ascii="仿宋_GB2312" w:eastAsia="仿宋_GB2312" w:cs="仿宋_GB2312" w:hAnsiTheme="majorEastAsia"/>
          <w:sz w:val="32"/>
          <w:szCs w:val="32"/>
        </w:rPr>
        <w:t>检查。</w:t>
      </w:r>
    </w:p>
    <w:p>
      <w:pPr>
        <w:adjustRightInd w:val="0"/>
        <w:snapToGrid w:val="0"/>
        <w:spacing w:line="560" w:lineRule="exact"/>
        <w:ind w:firstLine="640" w:firstLineChars="200"/>
        <w:rPr>
          <w:rFonts w:ascii="仿宋_GB2312" w:eastAsia="仿宋_GB2312" w:hAnsiTheme="majorEastAsia"/>
          <w:bCs/>
          <w:sz w:val="32"/>
          <w:szCs w:val="32"/>
        </w:rPr>
      </w:pPr>
      <w:r>
        <w:rPr>
          <w:rFonts w:hint="eastAsia" w:ascii="仿宋_GB2312" w:eastAsia="仿宋_GB2312" w:hAnsiTheme="majorEastAsia"/>
          <w:sz w:val="32"/>
          <w:szCs w:val="32"/>
        </w:rPr>
        <w:t>3、</w:t>
      </w:r>
      <w:r>
        <w:rPr>
          <w:rFonts w:hint="eastAsia" w:ascii="仿宋_GB2312" w:eastAsia="仿宋_GB2312" w:cs="楷体_GB2312" w:hAnsiTheme="majorEastAsia"/>
          <w:sz w:val="32"/>
          <w:szCs w:val="32"/>
        </w:rPr>
        <w:t>严格资金使用管理</w:t>
      </w:r>
      <w:r>
        <w:rPr>
          <w:rFonts w:hint="eastAsia" w:ascii="仿宋_GB2312" w:eastAsia="仿宋_GB2312" w:hAnsiTheme="majorEastAsia"/>
          <w:bCs/>
          <w:sz w:val="32"/>
          <w:szCs w:val="32"/>
        </w:rPr>
        <w:t>。</w:t>
      </w:r>
      <w:r>
        <w:rPr>
          <w:rFonts w:hint="eastAsia" w:ascii="仿宋_GB2312" w:eastAsia="仿宋_GB2312" w:hAnsiTheme="majorEastAsia"/>
          <w:sz w:val="32"/>
          <w:szCs w:val="32"/>
        </w:rPr>
        <w:t>严格按照《贵州省农业生产发展资金管理实施细则》管理使用资金，在确保财政资金安全的情况下，加快预算执行，专款专用，专账核算，确保资金安全运行和有效使用。属于政府采购管理和政府购买服务范围的，按政府采购管理和政府购买服务的规定和程序办理。</w:t>
      </w:r>
    </w:p>
    <w:p>
      <w:pPr>
        <w:adjustRightInd w:val="0"/>
        <w:snapToGrid w:val="0"/>
        <w:spacing w:line="560" w:lineRule="exact"/>
        <w:ind w:firstLine="640" w:firstLineChars="200"/>
        <w:rPr>
          <w:rFonts w:ascii="仿宋_GB2312" w:eastAsia="仿宋_GB2312" w:cs="宋体" w:hAnsiTheme="majorEastAsia"/>
          <w:color w:val="000000"/>
          <w:kern w:val="0"/>
          <w:sz w:val="32"/>
          <w:szCs w:val="32"/>
        </w:rPr>
      </w:pPr>
      <w:r>
        <w:rPr>
          <w:rFonts w:hint="eastAsia" w:ascii="仿宋_GB2312" w:eastAsia="仿宋_GB2312" w:hAnsiTheme="majorEastAsia"/>
          <w:sz w:val="32"/>
          <w:szCs w:val="32"/>
        </w:rPr>
        <w:t>4、</w:t>
      </w:r>
      <w:r>
        <w:rPr>
          <w:rFonts w:hint="eastAsia" w:ascii="仿宋_GB2312" w:eastAsia="仿宋_GB2312" w:cs="楷体_GB2312" w:hAnsiTheme="majorEastAsia"/>
          <w:sz w:val="32"/>
          <w:szCs w:val="32"/>
        </w:rPr>
        <w:t>做好项目档案管理</w:t>
      </w:r>
      <w:r>
        <w:rPr>
          <w:rFonts w:hint="eastAsia" w:ascii="仿宋_GB2312" w:eastAsia="仿宋_GB2312" w:hAnsiTheme="majorEastAsia"/>
          <w:bCs/>
          <w:sz w:val="32"/>
          <w:szCs w:val="32"/>
        </w:rPr>
        <w:t>。</w:t>
      </w:r>
      <w:r>
        <w:rPr>
          <w:rFonts w:hint="eastAsia" w:ascii="仿宋_GB2312" w:eastAsia="仿宋_GB2312" w:cs="宋体" w:hAnsiTheme="majorEastAsia"/>
          <w:color w:val="000000"/>
          <w:kern w:val="0"/>
          <w:sz w:val="32"/>
          <w:szCs w:val="32"/>
        </w:rPr>
        <w:t>明确专人负责项目档案管理工作，认真做好相关文件、报告、公示材料、图片等原始资料及财务资料的收集整理和归档工作，实行痕迹管理，确保档案资料的真实性、完整性和严肃性。</w:t>
      </w:r>
    </w:p>
    <w:p>
      <w:pPr>
        <w:adjustRightInd w:val="0"/>
        <w:snapToGrid w:val="0"/>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5、</w:t>
      </w:r>
      <w:r>
        <w:rPr>
          <w:rFonts w:hint="eastAsia" w:ascii="仿宋_GB2312" w:eastAsia="仿宋_GB2312" w:cs="楷体_GB2312" w:hAnsiTheme="majorEastAsia"/>
          <w:sz w:val="32"/>
          <w:szCs w:val="32"/>
        </w:rPr>
        <w:t>做好项目总结和绩效评价</w:t>
      </w:r>
      <w:r>
        <w:rPr>
          <w:rFonts w:hint="eastAsia" w:ascii="仿宋_GB2312" w:eastAsia="仿宋_GB2312" w:cs="宋体" w:hAnsiTheme="majorEastAsia"/>
          <w:color w:val="000000"/>
          <w:kern w:val="0"/>
          <w:sz w:val="32"/>
          <w:szCs w:val="32"/>
        </w:rPr>
        <w:t>。</w:t>
      </w:r>
      <w:r>
        <w:rPr>
          <w:rFonts w:hint="eastAsia" w:ascii="仿宋_GB2312" w:eastAsia="仿宋_GB2312" w:cs="仿宋" w:hAnsiTheme="majorEastAsia"/>
          <w:color w:val="000000"/>
          <w:kern w:val="0"/>
          <w:sz w:val="32"/>
          <w:szCs w:val="32"/>
        </w:rPr>
        <w:t>项目实施完成后，及时对项目实施情况进行全面总结，编写项目绩效自评报告，及时将总结报告和绩效报告上报省农业农村厅。</w:t>
      </w:r>
    </w:p>
    <w:p>
      <w:pPr>
        <w:spacing w:line="560" w:lineRule="exact"/>
        <w:ind w:firstLine="630"/>
        <w:rPr>
          <w:rFonts w:ascii="黑体" w:hAnsi="黑体" w:eastAsia="黑体"/>
          <w:szCs w:val="32"/>
        </w:rPr>
      </w:pPr>
      <w:r>
        <w:rPr>
          <w:rFonts w:hint="eastAsia" w:ascii="黑体" w:hAnsi="黑体" w:eastAsia="黑体"/>
          <w:szCs w:val="32"/>
        </w:rPr>
        <w:t>八、绩效评价结果应用建议</w:t>
      </w:r>
    </w:p>
    <w:p>
      <w:pPr>
        <w:spacing w:line="560" w:lineRule="exact"/>
        <w:ind w:firstLine="630"/>
        <w:rPr>
          <w:rFonts w:hAnsi="黑体"/>
          <w:szCs w:val="32"/>
        </w:rPr>
      </w:pPr>
      <w:r>
        <w:rPr>
          <w:rFonts w:hint="eastAsia" w:hAnsi="黑体"/>
          <w:szCs w:val="32"/>
        </w:rPr>
        <w:t>无</w:t>
      </w:r>
    </w:p>
    <w:p>
      <w:pPr>
        <w:spacing w:line="560" w:lineRule="exact"/>
        <w:ind w:firstLine="630"/>
        <w:rPr>
          <w:rFonts w:ascii="黑体" w:hAnsi="黑体" w:eastAsia="黑体"/>
          <w:szCs w:val="32"/>
        </w:rPr>
      </w:pPr>
      <w:r>
        <w:rPr>
          <w:rFonts w:hint="eastAsia" w:ascii="黑体" w:hAnsi="黑体" w:eastAsia="黑体"/>
          <w:szCs w:val="32"/>
        </w:rPr>
        <w:t>九、其他需说明的问题</w:t>
      </w:r>
    </w:p>
    <w:p>
      <w:pPr>
        <w:spacing w:line="560" w:lineRule="exact"/>
        <w:ind w:firstLine="630"/>
        <w:rPr>
          <w:rFonts w:hAnsi="黑体"/>
          <w:szCs w:val="32"/>
        </w:rPr>
      </w:pPr>
      <w:r>
        <w:rPr>
          <w:rFonts w:hint="eastAsia" w:hAnsi="黑体"/>
          <w:szCs w:val="32"/>
        </w:rPr>
        <w:t>无</w:t>
      </w:r>
    </w:p>
    <w:sectPr>
      <w:pgSz w:w="11906" w:h="16838"/>
      <w:pgMar w:top="1985" w:right="1588"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67C51"/>
    <w:multiLevelType w:val="singleLevel"/>
    <w:tmpl w:val="9D667C51"/>
    <w:lvl w:ilvl="0" w:tentative="0">
      <w:start w:val="5"/>
      <w:numFmt w:val="chineseCounting"/>
      <w:suff w:val="nothing"/>
      <w:lvlText w:val="（%1）"/>
      <w:lvlJc w:val="left"/>
      <w:rPr>
        <w:rFonts w:hint="eastAsia"/>
      </w:rPr>
    </w:lvl>
  </w:abstractNum>
  <w:abstractNum w:abstractNumId="1">
    <w:nsid w:val="EF2E62D6"/>
    <w:multiLevelType w:val="singleLevel"/>
    <w:tmpl w:val="EF2E62D6"/>
    <w:lvl w:ilvl="0" w:tentative="0">
      <w:start w:val="2"/>
      <w:numFmt w:val="chineseCounting"/>
      <w:suff w:val="nothing"/>
      <w:lvlText w:val="（%1）"/>
      <w:lvlJc w:val="left"/>
      <w:rPr>
        <w:rFonts w:hint="eastAsia"/>
      </w:rPr>
    </w:lvl>
  </w:abstractNum>
  <w:abstractNum w:abstractNumId="2">
    <w:nsid w:val="04383698"/>
    <w:multiLevelType w:val="singleLevel"/>
    <w:tmpl w:val="04383698"/>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龙熠">
    <w15:presenceInfo w15:providerId="None" w15:userId="龙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YjA3YTVmODIyYWJiMzc4OWMyNTFjZjUwYmJjMmMifQ=="/>
  </w:docVars>
  <w:rsids>
    <w:rsidRoot w:val="72BE7341"/>
    <w:rsid w:val="00030F77"/>
    <w:rsid w:val="00531381"/>
    <w:rsid w:val="00D3596E"/>
    <w:rsid w:val="0463447E"/>
    <w:rsid w:val="04A65CE8"/>
    <w:rsid w:val="0825512E"/>
    <w:rsid w:val="09D771D4"/>
    <w:rsid w:val="0CBB4B8B"/>
    <w:rsid w:val="1086769C"/>
    <w:rsid w:val="155E1C2C"/>
    <w:rsid w:val="16504596"/>
    <w:rsid w:val="16A91EF8"/>
    <w:rsid w:val="175C472D"/>
    <w:rsid w:val="193E7F0E"/>
    <w:rsid w:val="1B585634"/>
    <w:rsid w:val="1D0459BE"/>
    <w:rsid w:val="1D0C4F8F"/>
    <w:rsid w:val="1D1410F4"/>
    <w:rsid w:val="1F092C4C"/>
    <w:rsid w:val="23A67E9D"/>
    <w:rsid w:val="23B1063E"/>
    <w:rsid w:val="251A56F7"/>
    <w:rsid w:val="27637C02"/>
    <w:rsid w:val="283E4B96"/>
    <w:rsid w:val="2A465F84"/>
    <w:rsid w:val="2B4D3342"/>
    <w:rsid w:val="2D265BF9"/>
    <w:rsid w:val="31540F86"/>
    <w:rsid w:val="328238D1"/>
    <w:rsid w:val="34B00BC9"/>
    <w:rsid w:val="38174ABC"/>
    <w:rsid w:val="39A54F76"/>
    <w:rsid w:val="3C683B38"/>
    <w:rsid w:val="40B40C26"/>
    <w:rsid w:val="43E51F12"/>
    <w:rsid w:val="45CF2E79"/>
    <w:rsid w:val="46877C60"/>
    <w:rsid w:val="46C21842"/>
    <w:rsid w:val="49180694"/>
    <w:rsid w:val="4A6F4C2B"/>
    <w:rsid w:val="4E90206D"/>
    <w:rsid w:val="515B3813"/>
    <w:rsid w:val="51A678D2"/>
    <w:rsid w:val="51C66CCF"/>
    <w:rsid w:val="51D71064"/>
    <w:rsid w:val="52D715BF"/>
    <w:rsid w:val="537B1F4B"/>
    <w:rsid w:val="56033794"/>
    <w:rsid w:val="56432532"/>
    <w:rsid w:val="5BA34735"/>
    <w:rsid w:val="5C1D0043"/>
    <w:rsid w:val="5DDF35BD"/>
    <w:rsid w:val="60285208"/>
    <w:rsid w:val="62AE66F6"/>
    <w:rsid w:val="630A20B1"/>
    <w:rsid w:val="630F6005"/>
    <w:rsid w:val="64137F7D"/>
    <w:rsid w:val="66551E8A"/>
    <w:rsid w:val="66BC66AA"/>
    <w:rsid w:val="68355E64"/>
    <w:rsid w:val="688E7DBB"/>
    <w:rsid w:val="6A845731"/>
    <w:rsid w:val="6D5B20A2"/>
    <w:rsid w:val="6E275F3A"/>
    <w:rsid w:val="6FD35191"/>
    <w:rsid w:val="71A65C9F"/>
    <w:rsid w:val="72BE7341"/>
    <w:rsid w:val="732857F3"/>
    <w:rsid w:val="73584F97"/>
    <w:rsid w:val="73BE3A62"/>
    <w:rsid w:val="740A6CA7"/>
    <w:rsid w:val="78C51889"/>
    <w:rsid w:val="79B02CAD"/>
    <w:rsid w:val="7AEF490E"/>
    <w:rsid w:val="7E724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widowControl w:val="0"/>
      <w:ind w:left="420" w:leftChars="200"/>
      <w:jc w:val="both"/>
    </w:pPr>
    <w:rPr>
      <w:rFonts w:ascii="仿宋_GB2312" w:hAnsi="Times New Roman" w:eastAsia="仿宋_GB2312" w:cs="Times New Roman"/>
      <w:kern w:val="2"/>
      <w:sz w:val="32"/>
      <w:szCs w:val="22"/>
      <w:lang w:val="en-US" w:eastAsia="zh-CN" w:bidi="ar-SA"/>
    </w:rPr>
  </w:style>
  <w:style w:type="paragraph" w:styleId="3">
    <w:name w:val="Body Text"/>
    <w:basedOn w:val="1"/>
    <w:qFormat/>
    <w:uiPriority w:val="0"/>
    <w:pPr>
      <w:spacing w:after="120"/>
    </w:p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Body Text First Indent"/>
    <w:basedOn w:val="3"/>
    <w:qFormat/>
    <w:uiPriority w:val="0"/>
    <w:pPr>
      <w:ind w:firstLine="420" w:firstLineChars="100"/>
    </w:pPr>
  </w:style>
  <w:style w:type="paragraph" w:styleId="11">
    <w:name w:val="List Paragraph"/>
    <w:basedOn w:val="1"/>
    <w:qFormat/>
    <w:uiPriority w:val="99"/>
    <w:pPr>
      <w:ind w:firstLine="420" w:firstLineChars="200"/>
    </w:pPr>
  </w:style>
  <w:style w:type="character" w:customStyle="1" w:styleId="12">
    <w:name w:val="font11"/>
    <w:basedOn w:val="10"/>
    <w:qFormat/>
    <w:uiPriority w:val="0"/>
    <w:rPr>
      <w:rFonts w:hint="eastAsia" w:ascii="宋体" w:hAnsi="宋体" w:eastAsia="宋体" w:cs="宋体"/>
      <w:color w:val="000000"/>
      <w:sz w:val="20"/>
      <w:szCs w:val="20"/>
      <w:u w:val="none"/>
    </w:rPr>
  </w:style>
  <w:style w:type="character" w:customStyle="1" w:styleId="13">
    <w:name w:val="font21"/>
    <w:basedOn w:val="10"/>
    <w:qFormat/>
    <w:uiPriority w:val="0"/>
    <w:rPr>
      <w:rFonts w:hint="default" w:ascii="仿宋_GB2312" w:eastAsia="仿宋_GB2312" w:cs="仿宋_GB2312"/>
      <w:color w:val="000000"/>
      <w:sz w:val="20"/>
      <w:szCs w:val="20"/>
      <w:u w:val="none"/>
    </w:rPr>
  </w:style>
  <w:style w:type="character" w:customStyle="1" w:styleId="14">
    <w:name w:val="页眉 Char"/>
    <w:basedOn w:val="10"/>
    <w:link w:val="6"/>
    <w:qFormat/>
    <w:uiPriority w:val="0"/>
    <w:rPr>
      <w:rFonts w:ascii="仿宋_GB2312" w:eastAsia="仿宋_GB2312"/>
      <w:kern w:val="2"/>
      <w:sz w:val="18"/>
      <w:szCs w:val="18"/>
    </w:rPr>
  </w:style>
  <w:style w:type="character" w:customStyle="1" w:styleId="15">
    <w:name w:val="页脚 Char"/>
    <w:basedOn w:val="10"/>
    <w:link w:val="5"/>
    <w:qFormat/>
    <w:uiPriority w:val="0"/>
    <w:rPr>
      <w:rFonts w:ascii="仿宋_GB2312" w:eastAsia="仿宋_GB2312"/>
      <w:kern w:val="2"/>
      <w:sz w:val="18"/>
      <w:szCs w:val="18"/>
    </w:rPr>
  </w:style>
  <w:style w:type="character" w:customStyle="1" w:styleId="16">
    <w:name w:val="批注框文本 Char"/>
    <w:basedOn w:val="10"/>
    <w:link w:val="4"/>
    <w:qFormat/>
    <w:uiPriority w:val="0"/>
    <w:rPr>
      <w:rFonts w:ascii="仿宋_GB2312" w:eastAsia="仿宋_GB2312"/>
      <w:kern w:val="2"/>
      <w:sz w:val="18"/>
      <w:szCs w:val="18"/>
    </w:rPr>
  </w:style>
  <w:style w:type="character" w:customStyle="1" w:styleId="17">
    <w:name w:val="font31"/>
    <w:basedOn w:val="10"/>
    <w:qFormat/>
    <w:uiPriority w:val="0"/>
    <w:rPr>
      <w:rFonts w:hint="eastAsia" w:ascii="宋体" w:hAnsi="宋体" w:eastAsia="宋体" w:cs="宋体"/>
      <w:color w:val="000000"/>
      <w:sz w:val="18"/>
      <w:szCs w:val="18"/>
      <w:u w:val="none"/>
    </w:rPr>
  </w:style>
  <w:style w:type="paragraph" w:customStyle="1" w:styleId="18">
    <w:name w:val="_Style 11"/>
    <w:basedOn w:val="3"/>
    <w:next w:val="8"/>
    <w:qFormat/>
    <w:uiPriority w:val="99"/>
    <w:pPr>
      <w:spacing w:after="0" w:line="360" w:lineRule="auto"/>
      <w:ind w:firstLine="420" w:firstLineChars="100"/>
    </w:pPr>
    <w:rPr>
      <w:rFonts w:ascii="宋体" w:hAnsi="宋体" w:eastAsia="宋体" w:cs="Times New Roman"/>
      <w:sz w:val="28"/>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4101</Words>
  <Characters>4473</Characters>
  <Lines>36</Lines>
  <Paragraphs>10</Paragraphs>
  <TotalTime>23</TotalTime>
  <ScaleCrop>false</ScaleCrop>
  <LinksUpToDate>false</LinksUpToDate>
  <CharactersWithSpaces>4502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2022-02-09T01:49:00Z</dcterms:created>
  <dc:creator>Administrator</dc:creator>
  <cp:lastModifiedBy></cp:lastModifiedBy>
  <cp:lastPrinted>2023-05-08T06:56:51Z</cp:lastPrinted>
  <dcterms:modified xsi:type="dcterms:W3CDTF">2023-05-08T07:12:39Z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1559F53EDB91417DB690F2EB546CA76F_13</vt:lpwstr>
  </property>
</Properties>
</file>